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4A011" w14:textId="7F0D7413" w:rsidR="00545294" w:rsidRPr="00545294" w:rsidRDefault="00C83420" w:rsidP="00A4324F">
      <w:pPr>
        <w:pStyle w:val="Heading1"/>
        <w:jc w:val="both"/>
      </w:pPr>
      <w:bookmarkStart w:id="0" w:name="_GoBack"/>
      <w:bookmarkEnd w:id="0"/>
      <w:r w:rsidRPr="00545294">
        <w:t>Assessment of the responses received for Estonian and L</w:t>
      </w:r>
      <w:r w:rsidR="00545294" w:rsidRPr="00545294">
        <w:t>a</w:t>
      </w:r>
      <w:r w:rsidRPr="00545294">
        <w:t xml:space="preserve">tvian Transmission System Operators’ Public Consultation on </w:t>
      </w:r>
      <w:r w:rsidR="00545294" w:rsidRPr="00545294">
        <w:fldChar w:fldCharType="begin"/>
      </w:r>
      <w:r w:rsidR="00545294" w:rsidRPr="00545294">
        <w:instrText xml:space="preserve"> HYPERLINK "https://elering.ee/en/node/1248" \l "accordion0" </w:instrText>
      </w:r>
      <w:r w:rsidR="00545294" w:rsidRPr="00545294">
        <w:fldChar w:fldCharType="separate"/>
      </w:r>
      <w:r w:rsidR="00545294" w:rsidRPr="00545294">
        <w:t>the Balancing rules of the Common Balancing Zone of Estonia and Latvia</w:t>
      </w:r>
    </w:p>
    <w:p w14:paraId="417DB405" w14:textId="77777777" w:rsidR="00C83420" w:rsidRPr="00C83420" w:rsidRDefault="00545294" w:rsidP="00A4324F">
      <w:pPr>
        <w:pStyle w:val="Heading1"/>
        <w:jc w:val="both"/>
      </w:pPr>
      <w:r w:rsidRPr="00545294">
        <w:fldChar w:fldCharType="end"/>
      </w:r>
    </w:p>
    <w:tbl>
      <w:tblPr>
        <w:tblStyle w:val="TableGrid"/>
        <w:tblW w:w="13995" w:type="dxa"/>
        <w:tblLook w:val="04A0" w:firstRow="1" w:lastRow="0" w:firstColumn="1" w:lastColumn="0" w:noHBand="0" w:noVBand="1"/>
      </w:tblPr>
      <w:tblGrid>
        <w:gridCol w:w="8926"/>
        <w:gridCol w:w="5069"/>
      </w:tblGrid>
      <w:tr w:rsidR="00C644DF" w:rsidRPr="00E16344" w14:paraId="2AEEC012" w14:textId="77777777" w:rsidTr="00C644DF">
        <w:trPr>
          <w:trHeight w:val="247"/>
        </w:trPr>
        <w:tc>
          <w:tcPr>
            <w:tcW w:w="8926" w:type="dxa"/>
          </w:tcPr>
          <w:p w14:paraId="0E7009CC" w14:textId="77777777" w:rsidR="00C644DF" w:rsidRPr="00E16344" w:rsidRDefault="00C644DF" w:rsidP="00A4324F">
            <w:pPr>
              <w:jc w:val="both"/>
              <w:rPr>
                <w:rFonts w:cstheme="minorHAnsi"/>
                <w:b/>
                <w:sz w:val="20"/>
                <w:szCs w:val="20"/>
              </w:rPr>
            </w:pPr>
            <w:r w:rsidRPr="00E16344">
              <w:rPr>
                <w:rFonts w:cstheme="minorHAnsi"/>
                <w:b/>
                <w:sz w:val="20"/>
                <w:szCs w:val="20"/>
              </w:rPr>
              <w:t>Stakeholder comment</w:t>
            </w:r>
          </w:p>
        </w:tc>
        <w:tc>
          <w:tcPr>
            <w:tcW w:w="5069" w:type="dxa"/>
          </w:tcPr>
          <w:p w14:paraId="7B3492C0" w14:textId="77777777" w:rsidR="00C644DF" w:rsidRPr="00E16344" w:rsidRDefault="00C644DF" w:rsidP="00A4324F">
            <w:pPr>
              <w:jc w:val="both"/>
              <w:rPr>
                <w:rFonts w:cstheme="minorHAnsi"/>
                <w:b/>
                <w:sz w:val="20"/>
                <w:szCs w:val="20"/>
              </w:rPr>
            </w:pPr>
            <w:r w:rsidRPr="00E16344">
              <w:rPr>
                <w:rFonts w:cstheme="minorHAnsi"/>
                <w:b/>
                <w:sz w:val="20"/>
                <w:szCs w:val="20"/>
              </w:rPr>
              <w:t>TSOs’ comment</w:t>
            </w:r>
          </w:p>
        </w:tc>
      </w:tr>
      <w:tr w:rsidR="00E540E7" w:rsidRPr="00E16344" w14:paraId="739C2680" w14:textId="77777777" w:rsidTr="002F6D55">
        <w:trPr>
          <w:trHeight w:val="50"/>
        </w:trPr>
        <w:tc>
          <w:tcPr>
            <w:tcW w:w="13995" w:type="dxa"/>
            <w:gridSpan w:val="2"/>
            <w:shd w:val="clear" w:color="auto" w:fill="E7E6E6" w:themeFill="background2"/>
            <w:vAlign w:val="center"/>
          </w:tcPr>
          <w:p w14:paraId="244B30CE" w14:textId="77777777" w:rsidR="00E540E7" w:rsidRPr="00E16344" w:rsidRDefault="00E540E7" w:rsidP="00A4324F">
            <w:pPr>
              <w:pStyle w:val="Heading2"/>
              <w:jc w:val="both"/>
              <w:outlineLvl w:val="1"/>
            </w:pPr>
            <w:r w:rsidRPr="00E16344">
              <w:t>Definitions</w:t>
            </w:r>
          </w:p>
        </w:tc>
      </w:tr>
      <w:tr w:rsidR="00C644DF" w:rsidRPr="00E16344" w14:paraId="295D2321" w14:textId="77777777" w:rsidTr="00C644DF">
        <w:trPr>
          <w:trHeight w:val="270"/>
        </w:trPr>
        <w:tc>
          <w:tcPr>
            <w:tcW w:w="8926" w:type="dxa"/>
          </w:tcPr>
          <w:p w14:paraId="487DEA45" w14:textId="452B176B" w:rsidR="00C644DF" w:rsidRPr="00E16344" w:rsidRDefault="000F67E6" w:rsidP="00A4324F">
            <w:pPr>
              <w:jc w:val="both"/>
              <w:rPr>
                <w:rFonts w:cstheme="minorHAnsi"/>
                <w:sz w:val="20"/>
                <w:szCs w:val="20"/>
              </w:rPr>
            </w:pPr>
            <w:r>
              <w:rPr>
                <w:rFonts w:cstheme="minorHAnsi"/>
                <w:sz w:val="20"/>
                <w:szCs w:val="20"/>
              </w:rPr>
              <w:t>Stakeholder 1</w:t>
            </w:r>
          </w:p>
          <w:p w14:paraId="219136F4" w14:textId="77777777" w:rsidR="00C644DF" w:rsidRPr="00E16344" w:rsidRDefault="00C644DF" w:rsidP="00A4324F">
            <w:pPr>
              <w:jc w:val="both"/>
              <w:rPr>
                <w:rFonts w:cstheme="minorHAnsi"/>
                <w:sz w:val="20"/>
                <w:szCs w:val="20"/>
              </w:rPr>
            </w:pPr>
            <w:r w:rsidRPr="00E16344">
              <w:rPr>
                <w:rFonts w:cstheme="minorHAnsi"/>
                <w:sz w:val="20"/>
                <w:szCs w:val="20"/>
              </w:rPr>
              <w:t>„Title product“ should be included in the definitions</w:t>
            </w:r>
          </w:p>
        </w:tc>
        <w:tc>
          <w:tcPr>
            <w:tcW w:w="5069" w:type="dxa"/>
          </w:tcPr>
          <w:p w14:paraId="5AF5F8F8" w14:textId="79FFAC2F" w:rsidR="00523DAC" w:rsidRPr="00A24F74" w:rsidRDefault="00A24F74" w:rsidP="0042566B">
            <w:pPr>
              <w:jc w:val="both"/>
              <w:textAlignment w:val="baseline"/>
              <w:rPr>
                <w:rFonts w:cstheme="minorHAnsi"/>
                <w:sz w:val="20"/>
                <w:szCs w:val="20"/>
              </w:rPr>
            </w:pPr>
            <w:r>
              <w:rPr>
                <w:rFonts w:cstheme="minorHAnsi"/>
                <w:sz w:val="20"/>
                <w:szCs w:val="20"/>
              </w:rPr>
              <w:t>Will be added to the definitions</w:t>
            </w:r>
          </w:p>
        </w:tc>
      </w:tr>
      <w:tr w:rsidR="00C644DF" w:rsidRPr="00E16344" w14:paraId="6EACE68F" w14:textId="77777777" w:rsidTr="00C644DF">
        <w:trPr>
          <w:trHeight w:val="270"/>
        </w:trPr>
        <w:tc>
          <w:tcPr>
            <w:tcW w:w="8926" w:type="dxa"/>
          </w:tcPr>
          <w:p w14:paraId="75196514" w14:textId="296086B5" w:rsidR="00C644DF" w:rsidRPr="00E16344" w:rsidRDefault="000F67E6" w:rsidP="00A4324F">
            <w:pPr>
              <w:jc w:val="both"/>
              <w:rPr>
                <w:rFonts w:cstheme="minorHAnsi"/>
                <w:sz w:val="20"/>
                <w:szCs w:val="20"/>
              </w:rPr>
            </w:pPr>
            <w:r>
              <w:rPr>
                <w:rFonts w:cstheme="minorHAnsi"/>
                <w:sz w:val="20"/>
                <w:szCs w:val="20"/>
              </w:rPr>
              <w:t>Stakeholder 5</w:t>
            </w:r>
          </w:p>
          <w:p w14:paraId="6A47A407" w14:textId="77777777" w:rsidR="0043174E" w:rsidRPr="00E16344" w:rsidRDefault="0043174E" w:rsidP="00A4324F">
            <w:pPr>
              <w:pStyle w:val="CommentTex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lang w:val="en-US"/>
              </w:rPr>
            </w:pPr>
            <w:r w:rsidRPr="002F6D55">
              <w:rPr>
                <w:rFonts w:asciiTheme="minorHAnsi" w:hAnsiTheme="minorHAnsi" w:cstheme="minorHAnsi"/>
                <w:i/>
                <w:lang w:val="en-US" w:eastAsia="lt-LT"/>
              </w:rPr>
              <w:t xml:space="preserve">1.2.2. </w:t>
            </w:r>
            <w:proofErr w:type="gramStart"/>
            <w:r w:rsidRPr="002F6D55">
              <w:rPr>
                <w:rFonts w:asciiTheme="minorHAnsi" w:hAnsiTheme="minorHAnsi" w:cstheme="minorHAnsi"/>
                <w:i/>
                <w:lang w:val="en-US" w:eastAsia="lt-LT"/>
              </w:rPr>
              <w:t>to</w:t>
            </w:r>
            <w:proofErr w:type="gramEnd"/>
            <w:r w:rsidRPr="002F6D55">
              <w:rPr>
                <w:rFonts w:asciiTheme="minorHAnsi" w:hAnsiTheme="minorHAnsi" w:cstheme="minorHAnsi"/>
                <w:i/>
                <w:lang w:val="en-US" w:eastAsia="lt-LT"/>
              </w:rPr>
              <w:t xml:space="preserve"> all network users that have concluded the balancing agreement with one transmission system operator in the common balancing zone</w:t>
            </w:r>
            <w:r w:rsidRPr="00E16344">
              <w:rPr>
                <w:rFonts w:asciiTheme="minorHAnsi" w:hAnsiTheme="minorHAnsi" w:cstheme="minorHAnsi"/>
                <w:lang w:val="en-US" w:eastAsia="lt-LT"/>
              </w:rPr>
              <w:t xml:space="preserve"> - </w:t>
            </w:r>
            <w:r w:rsidRPr="00E16344">
              <w:rPr>
                <w:rFonts w:asciiTheme="minorHAnsi" w:hAnsiTheme="minorHAnsi" w:cstheme="minorHAnsi"/>
                <w:lang w:val="en-US"/>
              </w:rPr>
              <w:t>It is not clear to which TSO of the two TSOs in the common balancing zone. Contractual relationship and structure of LV TSO - EE TSO - network user relationship is not clearly established under this document. Criteria which TSO to choose by the network user should be established as well.</w:t>
            </w:r>
          </w:p>
          <w:p w14:paraId="596C92CF" w14:textId="77777777" w:rsidR="001F2632" w:rsidRPr="00575F89" w:rsidRDefault="0043174E" w:rsidP="00A4324F">
            <w:pPr>
              <w:pStyle w:val="ListParagraph"/>
              <w:numPr>
                <w:ilvl w:val="0"/>
                <w:numId w:val="15"/>
              </w:numPr>
              <w:tabs>
                <w:tab w:val="left" w:pos="1276"/>
              </w:tabs>
              <w:suppressAutoHyphens/>
              <w:spacing w:line="240" w:lineRule="auto"/>
              <w:jc w:val="both"/>
              <w:textAlignment w:val="baseline"/>
              <w:rPr>
                <w:rFonts w:cstheme="minorHAnsi"/>
                <w:sz w:val="20"/>
                <w:szCs w:val="20"/>
                <w:lang w:val="en-US" w:eastAsia="lt-LT"/>
              </w:rPr>
            </w:pPr>
            <w:r w:rsidRPr="00E16344">
              <w:rPr>
                <w:rFonts w:cstheme="minorHAnsi"/>
                <w:sz w:val="20"/>
                <w:szCs w:val="20"/>
                <w:lang w:val="en-US" w:eastAsia="lt-LT"/>
              </w:rPr>
              <w:t xml:space="preserve">All definitions used in the Rules shall be in </w:t>
            </w:r>
            <w:r w:rsidRPr="00575F89">
              <w:rPr>
                <w:rFonts w:cstheme="minorHAnsi"/>
                <w:sz w:val="20"/>
                <w:szCs w:val="20"/>
                <w:lang w:val="en-US" w:eastAsia="lt-LT"/>
              </w:rPr>
              <w:t>line with existing EU legislation. Definitions which are already defined in the EU legislation should not be repeated in the Rules. We propose to add additional paragraph: “</w:t>
            </w:r>
            <w:r w:rsidRPr="00575F89">
              <w:rPr>
                <w:rFonts w:cstheme="minorHAnsi"/>
                <w:i/>
                <w:sz w:val="20"/>
                <w:szCs w:val="20"/>
                <w:lang w:val="en-US" w:eastAsia="lt-LT"/>
              </w:rPr>
              <w:t>Other terms which are used in these Network Rules are understood as they defined in other EU energy legislation acts</w:t>
            </w:r>
            <w:r w:rsidRPr="00575F89">
              <w:rPr>
                <w:rFonts w:cstheme="minorHAnsi"/>
                <w:sz w:val="20"/>
                <w:szCs w:val="20"/>
                <w:lang w:val="en-US" w:eastAsia="lt-LT"/>
              </w:rPr>
              <w:t>.”</w:t>
            </w:r>
          </w:p>
          <w:p w14:paraId="3548E91D" w14:textId="77777777" w:rsidR="0043174E" w:rsidRPr="00575F89" w:rsidRDefault="0043174E" w:rsidP="00A4324F">
            <w:pPr>
              <w:pStyle w:val="ListParagraph"/>
              <w:numPr>
                <w:ilvl w:val="0"/>
                <w:numId w:val="15"/>
              </w:numPr>
              <w:spacing w:line="240" w:lineRule="auto"/>
              <w:jc w:val="both"/>
              <w:textAlignment w:val="baseline"/>
              <w:rPr>
                <w:rFonts w:eastAsia="Times New Roman" w:cstheme="minorHAnsi"/>
                <w:sz w:val="20"/>
                <w:szCs w:val="20"/>
                <w:lang w:val="en-US" w:eastAsia="lt-LT"/>
              </w:rPr>
            </w:pPr>
            <w:r w:rsidRPr="00575F89">
              <w:rPr>
                <w:rFonts w:cstheme="minorHAnsi"/>
                <w:i/>
                <w:sz w:val="20"/>
                <w:szCs w:val="20"/>
                <w:lang w:val="en-US" w:eastAsia="lt-LT"/>
              </w:rPr>
              <w:t>2.1.2.</w:t>
            </w:r>
            <w:r w:rsidR="00575F89" w:rsidRPr="00575F89">
              <w:rPr>
                <w:rFonts w:cstheme="minorHAnsi"/>
                <w:i/>
                <w:sz w:val="20"/>
                <w:szCs w:val="20"/>
                <w:lang w:val="en-US" w:eastAsia="lt-LT"/>
              </w:rPr>
              <w:t xml:space="preserve"> Balancing agreement shall mean</w:t>
            </w:r>
            <w:r w:rsidRPr="00575F89">
              <w:rPr>
                <w:rFonts w:cstheme="minorHAnsi"/>
                <w:i/>
                <w:sz w:val="20"/>
                <w:szCs w:val="20"/>
                <w:lang w:val="en-US" w:eastAsia="lt-LT"/>
              </w:rPr>
              <w:t xml:space="preserve"> the standardized agreement, which may be concluded by a market participant with any transmission system operator in the common balancing zone, in </w:t>
            </w:r>
            <w:r w:rsidR="00575F89" w:rsidRPr="00575F89">
              <w:rPr>
                <w:rFonts w:cstheme="minorHAnsi"/>
                <w:i/>
                <w:sz w:val="20"/>
                <w:szCs w:val="20"/>
                <w:lang w:val="en-US" w:eastAsia="lt-LT"/>
              </w:rPr>
              <w:t xml:space="preserve">order to become a network user </w:t>
            </w:r>
            <w:r w:rsidRPr="00575F89">
              <w:rPr>
                <w:rFonts w:cstheme="minorHAnsi"/>
                <w:i/>
                <w:sz w:val="20"/>
                <w:szCs w:val="20"/>
                <w:lang w:val="en-US" w:eastAsia="lt-LT"/>
              </w:rPr>
              <w:t>within the meaning of these standard terms and conditions</w:t>
            </w:r>
            <w:r w:rsidR="00575F89" w:rsidRPr="00575F89">
              <w:rPr>
                <w:rFonts w:cstheme="minorHAnsi"/>
                <w:sz w:val="20"/>
                <w:szCs w:val="20"/>
                <w:lang w:val="en-US" w:eastAsia="lt-LT"/>
              </w:rPr>
              <w:t xml:space="preserve"> - </w:t>
            </w:r>
            <w:r w:rsidRPr="00575F89">
              <w:rPr>
                <w:rFonts w:cstheme="minorHAnsi"/>
                <w:sz w:val="20"/>
                <w:szCs w:val="20"/>
                <w:lang w:val="en-US" w:eastAsia="lt-LT"/>
              </w:rPr>
              <w:t xml:space="preserve"> </w:t>
            </w:r>
            <w:r w:rsidRPr="00575F89">
              <w:rPr>
                <w:rFonts w:eastAsia="Times New Roman" w:cstheme="minorHAnsi"/>
                <w:sz w:val="20"/>
                <w:szCs w:val="20"/>
                <w:lang w:val="en-US" w:eastAsia="lt-LT"/>
              </w:rPr>
              <w:t>This definition is not in line with a Regulation (EC) No 715/2009 of the European Parliament and of the Council of 13 July 2009 on conditions for access to the natural gas transmission networks and repealing Regulation (EC) No 1775/2005 (hereinafter – Gas Regulation) Art. 2 (11) definition: „</w:t>
            </w:r>
            <w:r w:rsidRPr="00575F89">
              <w:rPr>
                <w:rFonts w:eastAsia="Times New Roman" w:cstheme="minorHAnsi"/>
                <w:i/>
                <w:sz w:val="20"/>
                <w:szCs w:val="20"/>
                <w:lang w:val="en-US" w:eastAsia="lt-LT"/>
              </w:rPr>
              <w:t>11) ‘network user’ means a customer or a potential customer of a transmission system operator, and transmission system operators themselves in so far as it is necessary for them to carry out their functions in relation to transmission;</w:t>
            </w:r>
            <w:r w:rsidRPr="00575F89">
              <w:rPr>
                <w:rFonts w:eastAsia="Times New Roman" w:cstheme="minorHAnsi"/>
                <w:sz w:val="20"/>
                <w:szCs w:val="20"/>
                <w:lang w:val="en-US" w:eastAsia="lt-LT"/>
              </w:rPr>
              <w:t>“</w:t>
            </w:r>
          </w:p>
          <w:p w14:paraId="4923D62D" w14:textId="77777777" w:rsidR="0043174E" w:rsidRPr="00575F89" w:rsidRDefault="00575F89" w:rsidP="00A4324F">
            <w:pPr>
              <w:pStyle w:val="ListParagraph"/>
              <w:numPr>
                <w:ilvl w:val="0"/>
                <w:numId w:val="15"/>
              </w:numPr>
              <w:spacing w:line="240" w:lineRule="auto"/>
              <w:jc w:val="both"/>
              <w:textAlignment w:val="baseline"/>
              <w:rPr>
                <w:rFonts w:eastAsia="Times New Roman" w:cstheme="minorHAnsi"/>
                <w:sz w:val="20"/>
                <w:szCs w:val="20"/>
                <w:lang w:val="en-US" w:eastAsia="lt-LT"/>
              </w:rPr>
            </w:pPr>
            <w:r w:rsidRPr="00575F89">
              <w:rPr>
                <w:rFonts w:cstheme="minorHAnsi"/>
                <w:i/>
                <w:sz w:val="20"/>
                <w:szCs w:val="20"/>
                <w:lang w:val="en-US" w:eastAsia="lt-LT"/>
              </w:rPr>
              <w:t xml:space="preserve">2.1.3. Balancing portfolio </w:t>
            </w:r>
            <w:r w:rsidR="0043174E" w:rsidRPr="00575F89">
              <w:rPr>
                <w:rFonts w:cstheme="minorHAnsi"/>
                <w:i/>
                <w:sz w:val="20"/>
                <w:szCs w:val="20"/>
                <w:lang w:val="en-US" w:eastAsia="lt-LT"/>
              </w:rPr>
              <w:t>means all inputs and offtakes in the common balancing zone that are attributed to a network user</w:t>
            </w:r>
            <w:r w:rsidR="0043174E" w:rsidRPr="00E16344">
              <w:rPr>
                <w:rFonts w:cstheme="minorHAnsi"/>
                <w:sz w:val="20"/>
                <w:szCs w:val="20"/>
                <w:lang w:val="en-US" w:eastAsia="lt-LT"/>
              </w:rPr>
              <w:t xml:space="preserve">. - </w:t>
            </w:r>
            <w:r w:rsidR="0043174E" w:rsidRPr="00E16344">
              <w:rPr>
                <w:rFonts w:eastAsia="Times New Roman" w:cstheme="minorHAnsi"/>
                <w:sz w:val="20"/>
                <w:szCs w:val="20"/>
                <w:lang w:val="en-US" w:eastAsia="lt-LT"/>
              </w:rPr>
              <w:t>Regarding BAL NC Art. 3 (13):</w:t>
            </w:r>
            <w:r>
              <w:rPr>
                <w:rFonts w:eastAsia="Times New Roman" w:cstheme="minorHAnsi"/>
                <w:sz w:val="20"/>
                <w:szCs w:val="20"/>
                <w:lang w:val="en-US" w:eastAsia="lt-LT"/>
              </w:rPr>
              <w:t xml:space="preserve"> </w:t>
            </w:r>
            <w:r w:rsidR="0043174E" w:rsidRPr="00575F89">
              <w:rPr>
                <w:rFonts w:eastAsia="Times New Roman" w:cstheme="minorHAnsi"/>
                <w:i/>
                <w:sz w:val="20"/>
                <w:szCs w:val="20"/>
                <w:lang w:val="en-US" w:eastAsia="lt-LT"/>
              </w:rPr>
              <w:t>„(13) ‘balancing portfolio’ means a grouping of a network user’s inputs and off-takes;“</w:t>
            </w:r>
          </w:p>
          <w:p w14:paraId="7EDC519D" w14:textId="77777777" w:rsidR="0043174E" w:rsidRPr="00E16344" w:rsidRDefault="00575F89" w:rsidP="00A4324F">
            <w:pPr>
              <w:pStyle w:val="CommentText"/>
              <w:numPr>
                <w:ilvl w:val="0"/>
                <w:numId w:val="15"/>
              </w:numPr>
              <w:jc w:val="both"/>
              <w:rPr>
                <w:rFonts w:asciiTheme="minorHAnsi" w:hAnsiTheme="minorHAnsi" w:cstheme="minorHAnsi"/>
                <w:lang w:val="en-US"/>
              </w:rPr>
            </w:pPr>
            <w:r w:rsidRPr="00575F89">
              <w:rPr>
                <w:rFonts w:asciiTheme="minorHAnsi" w:hAnsiTheme="minorHAnsi" w:cstheme="minorHAnsi"/>
                <w:i/>
                <w:lang w:val="en-US" w:eastAsia="lt-LT"/>
              </w:rPr>
              <w:t xml:space="preserve">2.1.9 Network user </w:t>
            </w:r>
            <w:r w:rsidR="0043174E" w:rsidRPr="00575F89">
              <w:rPr>
                <w:rFonts w:asciiTheme="minorHAnsi" w:hAnsiTheme="minorHAnsi" w:cstheme="minorHAnsi"/>
                <w:i/>
                <w:lang w:val="en-US" w:eastAsia="lt-LT"/>
              </w:rPr>
              <w:t>means a market participant who has entered into a balancing agreement with the transmission system operator of the common balancing zone in order to balance its inputs against its off-takes in the common balancing zone</w:t>
            </w:r>
            <w:r w:rsidR="0043174E" w:rsidRPr="00E16344">
              <w:rPr>
                <w:rFonts w:asciiTheme="minorHAnsi" w:hAnsiTheme="minorHAnsi" w:cstheme="minorHAnsi"/>
                <w:lang w:val="en-US" w:eastAsia="lt-LT"/>
              </w:rPr>
              <w:t xml:space="preserve"> - </w:t>
            </w:r>
            <w:r w:rsidR="0043174E" w:rsidRPr="00E16344">
              <w:rPr>
                <w:rFonts w:asciiTheme="minorHAnsi" w:hAnsiTheme="minorHAnsi" w:cstheme="minorHAnsi"/>
                <w:lang w:val="en-US"/>
              </w:rPr>
              <w:t>This definition is not in line with a Gas Regulation Art. 2 (11) definition.</w:t>
            </w:r>
          </w:p>
          <w:p w14:paraId="6533E8FF" w14:textId="77777777" w:rsidR="0043174E" w:rsidRPr="00E16344" w:rsidRDefault="00575F89" w:rsidP="00A4324F">
            <w:pPr>
              <w:pStyle w:val="ListParagraph"/>
              <w:numPr>
                <w:ilvl w:val="0"/>
                <w:numId w:val="15"/>
              </w:numPr>
              <w:tabs>
                <w:tab w:val="left" w:pos="851"/>
              </w:tabs>
              <w:suppressAutoHyphens/>
              <w:spacing w:line="240" w:lineRule="auto"/>
              <w:jc w:val="both"/>
              <w:textAlignment w:val="baseline"/>
              <w:rPr>
                <w:rFonts w:cstheme="minorHAnsi"/>
                <w:sz w:val="20"/>
                <w:szCs w:val="20"/>
                <w:lang w:val="en-US" w:eastAsia="lt-LT"/>
              </w:rPr>
            </w:pPr>
            <w:r>
              <w:rPr>
                <w:rFonts w:cstheme="minorHAnsi"/>
                <w:sz w:val="20"/>
                <w:szCs w:val="20"/>
                <w:lang w:val="en-US"/>
              </w:rPr>
              <w:lastRenderedPageBreak/>
              <w:t xml:space="preserve">2.1.20. </w:t>
            </w:r>
            <w:r w:rsidRPr="00575F89">
              <w:rPr>
                <w:rFonts w:cstheme="minorHAnsi"/>
                <w:i/>
                <w:sz w:val="20"/>
                <w:szCs w:val="20"/>
                <w:lang w:val="en-US"/>
              </w:rPr>
              <w:t>Neutrality adjustment</w:t>
            </w:r>
            <w:r w:rsidR="0043174E" w:rsidRPr="00575F89">
              <w:rPr>
                <w:rFonts w:cstheme="minorHAnsi"/>
                <w:i/>
                <w:sz w:val="20"/>
                <w:szCs w:val="20"/>
                <w:lang w:val="en-US"/>
              </w:rPr>
              <w:t xml:space="preserve"> means the adjustment percentage added to the daily imbalance price in order to cover the costs of the balancing activities of the transmission system operator</w:t>
            </w:r>
            <w:r w:rsidR="0043174E" w:rsidRPr="00E16344">
              <w:rPr>
                <w:rFonts w:cstheme="minorHAnsi"/>
                <w:sz w:val="20"/>
                <w:szCs w:val="20"/>
                <w:lang w:val="en-US"/>
              </w:rPr>
              <w:t xml:space="preserve"> - </w:t>
            </w:r>
            <w:r w:rsidR="0043174E" w:rsidRPr="00E16344">
              <w:rPr>
                <w:rFonts w:cstheme="minorHAnsi"/>
                <w:sz w:val="20"/>
                <w:szCs w:val="20"/>
                <w:lang w:val="en-US" w:eastAsia="lt-LT"/>
              </w:rPr>
              <w:t>BAL NC Art. 3 (3) provides different definition to define and name the same concept:</w:t>
            </w:r>
          </w:p>
          <w:p w14:paraId="137E6D4F" w14:textId="77777777" w:rsidR="0043174E" w:rsidRPr="00E16344" w:rsidRDefault="0043174E" w:rsidP="00A4324F">
            <w:pPr>
              <w:tabs>
                <w:tab w:val="left" w:pos="851"/>
              </w:tabs>
              <w:suppressAutoHyphens/>
              <w:ind w:left="360"/>
              <w:jc w:val="both"/>
              <w:textAlignment w:val="baseline"/>
              <w:rPr>
                <w:rFonts w:cstheme="minorHAnsi"/>
                <w:sz w:val="20"/>
                <w:szCs w:val="20"/>
                <w:lang w:val="en-US" w:eastAsia="lt-LT"/>
              </w:rPr>
            </w:pPr>
            <w:r w:rsidRPr="00E16344">
              <w:rPr>
                <w:rFonts w:cstheme="minorHAnsi"/>
                <w:i/>
                <w:sz w:val="20"/>
                <w:szCs w:val="20"/>
                <w:lang w:val="en-US" w:eastAsia="lt-LT"/>
              </w:rPr>
              <w:t>„(3) ‘neutrality charge for balancing’ means a charge amounting to the difference between the amounts received or receivable and the amounts paid or payable by the transmission system operator due to performance of its balancing activities which is payable to or recoverable from the relevant network users;</w:t>
            </w:r>
            <w:r w:rsidRPr="00E16344">
              <w:rPr>
                <w:rFonts w:cstheme="minorHAnsi"/>
                <w:sz w:val="20"/>
                <w:szCs w:val="20"/>
                <w:lang w:val="en-US" w:eastAsia="lt-LT"/>
              </w:rPr>
              <w:t>“. We ask to amend the Rules respectively.</w:t>
            </w:r>
          </w:p>
          <w:p w14:paraId="74342E09" w14:textId="77777777" w:rsidR="0043174E" w:rsidRPr="00E16344" w:rsidRDefault="0043174E" w:rsidP="00A4324F">
            <w:pPr>
              <w:pStyle w:val="ListParagraph"/>
              <w:numPr>
                <w:ilvl w:val="0"/>
                <w:numId w:val="15"/>
              </w:numPr>
              <w:tabs>
                <w:tab w:val="left" w:pos="851"/>
              </w:tabs>
              <w:suppressAutoHyphens/>
              <w:spacing w:line="240" w:lineRule="auto"/>
              <w:jc w:val="both"/>
              <w:textAlignment w:val="baseline"/>
              <w:rPr>
                <w:rFonts w:cstheme="minorHAnsi"/>
                <w:sz w:val="20"/>
                <w:szCs w:val="20"/>
                <w:lang w:val="en-US" w:eastAsia="lt-LT"/>
              </w:rPr>
            </w:pPr>
            <w:r w:rsidRPr="00E16344">
              <w:rPr>
                <w:rFonts w:cstheme="minorHAnsi"/>
                <w:sz w:val="20"/>
                <w:szCs w:val="20"/>
                <w:lang w:val="en-US"/>
              </w:rPr>
              <w:t xml:space="preserve">2.1.24. Short term standardized product means either a title product or a locational product that is traded for delivery on a within day or day ahead basis - </w:t>
            </w:r>
            <w:r w:rsidRPr="00E16344">
              <w:rPr>
                <w:rFonts w:cstheme="minorHAnsi"/>
                <w:sz w:val="20"/>
                <w:szCs w:val="20"/>
                <w:lang w:val="en-US" w:eastAsia="lt-LT"/>
              </w:rPr>
              <w:t>BAL NC Art 7 (1):</w:t>
            </w:r>
          </w:p>
          <w:p w14:paraId="10D71445" w14:textId="77777777" w:rsidR="0043174E" w:rsidRPr="00E16344" w:rsidRDefault="0043174E" w:rsidP="00A4324F">
            <w:pPr>
              <w:tabs>
                <w:tab w:val="left" w:pos="851"/>
              </w:tabs>
              <w:suppressAutoHyphens/>
              <w:ind w:left="360"/>
              <w:jc w:val="both"/>
              <w:textAlignment w:val="baseline"/>
              <w:rPr>
                <w:rFonts w:cstheme="minorHAnsi"/>
                <w:sz w:val="20"/>
                <w:szCs w:val="20"/>
                <w:lang w:val="en-US" w:eastAsia="lt-LT"/>
              </w:rPr>
            </w:pPr>
            <w:r w:rsidRPr="00E16344">
              <w:rPr>
                <w:rFonts w:cstheme="minorHAnsi"/>
                <w:sz w:val="20"/>
                <w:szCs w:val="20"/>
                <w:lang w:val="en-US" w:eastAsia="lt-LT"/>
              </w:rPr>
              <w:t xml:space="preserve">„1. </w:t>
            </w:r>
            <w:r w:rsidRPr="00E16344">
              <w:rPr>
                <w:rFonts w:cstheme="minorHAnsi"/>
                <w:i/>
                <w:sz w:val="20"/>
                <w:szCs w:val="20"/>
                <w:lang w:val="en-US" w:eastAsia="lt-LT"/>
              </w:rPr>
              <w:t xml:space="preserve">The short term </w:t>
            </w:r>
            <w:proofErr w:type="spellStart"/>
            <w:r w:rsidRPr="00E16344">
              <w:rPr>
                <w:rFonts w:cstheme="minorHAnsi"/>
                <w:i/>
                <w:sz w:val="20"/>
                <w:szCs w:val="20"/>
                <w:lang w:val="en-US" w:eastAsia="lt-LT"/>
              </w:rPr>
              <w:t>standardised</w:t>
            </w:r>
            <w:proofErr w:type="spellEnd"/>
            <w:r w:rsidRPr="00E16344">
              <w:rPr>
                <w:rFonts w:cstheme="minorHAnsi"/>
                <w:i/>
                <w:sz w:val="20"/>
                <w:szCs w:val="20"/>
                <w:lang w:val="en-US" w:eastAsia="lt-LT"/>
              </w:rPr>
              <w:t xml:space="preserve"> products shall be traded for delivery on a </w:t>
            </w:r>
            <w:r w:rsidRPr="00E16344">
              <w:rPr>
                <w:rFonts w:cstheme="minorHAnsi"/>
                <w:b/>
                <w:i/>
                <w:sz w:val="20"/>
                <w:szCs w:val="20"/>
                <w:lang w:val="en-US" w:eastAsia="lt-LT"/>
              </w:rPr>
              <w:t>within day or day ahead basis</w:t>
            </w:r>
            <w:r w:rsidRPr="00E16344">
              <w:rPr>
                <w:rFonts w:cstheme="minorHAnsi"/>
                <w:i/>
                <w:sz w:val="20"/>
                <w:szCs w:val="20"/>
                <w:lang w:val="en-US" w:eastAsia="lt-LT"/>
              </w:rPr>
              <w:t xml:space="preserve"> seven days a week in accordance with the applicable rules of the trading platform as defined between the trading platform operator and the transmission system operator.</w:t>
            </w:r>
            <w:r w:rsidRPr="00E16344">
              <w:rPr>
                <w:rFonts w:cstheme="minorHAnsi"/>
                <w:sz w:val="20"/>
                <w:szCs w:val="20"/>
                <w:lang w:val="en-US" w:eastAsia="lt-LT"/>
              </w:rPr>
              <w:t>“</w:t>
            </w:r>
          </w:p>
          <w:p w14:paraId="26315E6E" w14:textId="77777777" w:rsidR="0043174E" w:rsidRPr="00E16344" w:rsidRDefault="0043174E" w:rsidP="00A4324F">
            <w:pPr>
              <w:pStyle w:val="CommentText"/>
              <w:ind w:left="326"/>
              <w:jc w:val="both"/>
              <w:rPr>
                <w:rFonts w:asciiTheme="minorHAnsi" w:hAnsiTheme="minorHAnsi" w:cstheme="minorHAnsi"/>
                <w:lang w:val="en-US"/>
              </w:rPr>
            </w:pPr>
            <w:r w:rsidRPr="00E16344">
              <w:rPr>
                <w:rFonts w:asciiTheme="minorHAnsi" w:hAnsiTheme="minorHAnsi" w:cstheme="minorHAnsi"/>
                <w:lang w:val="en-US" w:eastAsia="lt-LT"/>
              </w:rPr>
              <w:t xml:space="preserve">In addition to paragraph 8.3.2., in order to set a comprehensible definition for the market participants, we suggest to amend this definitions by highlighting that the short term </w:t>
            </w:r>
            <w:proofErr w:type="spellStart"/>
            <w:r w:rsidRPr="00E16344">
              <w:rPr>
                <w:rFonts w:asciiTheme="minorHAnsi" w:hAnsiTheme="minorHAnsi" w:cstheme="minorHAnsi"/>
                <w:lang w:val="en-US" w:eastAsia="lt-LT"/>
              </w:rPr>
              <w:t>standardised</w:t>
            </w:r>
            <w:proofErr w:type="spellEnd"/>
            <w:r w:rsidRPr="00E16344">
              <w:rPr>
                <w:rFonts w:asciiTheme="minorHAnsi" w:hAnsiTheme="minorHAnsi" w:cstheme="minorHAnsi"/>
                <w:lang w:val="en-US" w:eastAsia="lt-LT"/>
              </w:rPr>
              <w:t xml:space="preserve"> products (STSPs) are just </w:t>
            </w:r>
            <w:r w:rsidRPr="00E16344">
              <w:rPr>
                <w:rFonts w:asciiTheme="minorHAnsi" w:hAnsiTheme="minorHAnsi" w:cstheme="minorHAnsi"/>
                <w:b/>
                <w:lang w:val="en-US" w:eastAsia="lt-LT"/>
              </w:rPr>
              <w:t>the within day and day ahead products</w:t>
            </w:r>
            <w:r w:rsidRPr="00E16344">
              <w:rPr>
                <w:rFonts w:asciiTheme="minorHAnsi" w:hAnsiTheme="minorHAnsi" w:cstheme="minorHAnsi"/>
                <w:lang w:val="en-US" w:eastAsia="lt-LT"/>
              </w:rPr>
              <w:t xml:space="preserve"> and are not other products offered on a </w:t>
            </w:r>
            <w:proofErr w:type="spellStart"/>
            <w:r w:rsidRPr="00E16344">
              <w:rPr>
                <w:rFonts w:asciiTheme="minorHAnsi" w:hAnsiTheme="minorHAnsi" w:cstheme="minorHAnsi"/>
                <w:lang w:val="en-US" w:eastAsia="lt-LT"/>
              </w:rPr>
              <w:t>standartised</w:t>
            </w:r>
            <w:proofErr w:type="spellEnd"/>
            <w:r w:rsidRPr="00E16344">
              <w:rPr>
                <w:rFonts w:asciiTheme="minorHAnsi" w:hAnsiTheme="minorHAnsi" w:cstheme="minorHAnsi"/>
                <w:lang w:val="en-US" w:eastAsia="lt-LT"/>
              </w:rPr>
              <w:t xml:space="preserve"> basis at a trading platform, like Previous day (balancing) products, Nearest day-ahead (physical forward) products or any other type of products.</w:t>
            </w:r>
          </w:p>
          <w:p w14:paraId="4F0060C0" w14:textId="77777777" w:rsidR="0043174E" w:rsidRPr="00E16344" w:rsidRDefault="00575F89" w:rsidP="00A4324F">
            <w:pPr>
              <w:pStyle w:val="ListParagraph"/>
              <w:numPr>
                <w:ilvl w:val="0"/>
                <w:numId w:val="15"/>
              </w:numPr>
              <w:suppressAutoHyphens/>
              <w:spacing w:line="240" w:lineRule="auto"/>
              <w:jc w:val="both"/>
              <w:rPr>
                <w:rFonts w:cstheme="minorHAnsi"/>
                <w:sz w:val="20"/>
                <w:szCs w:val="20"/>
                <w:lang w:val="en-US" w:eastAsia="lt-LT"/>
              </w:rPr>
            </w:pPr>
            <w:r>
              <w:rPr>
                <w:rFonts w:cstheme="minorHAnsi"/>
                <w:sz w:val="20"/>
                <w:szCs w:val="20"/>
                <w:lang w:val="en-US" w:eastAsia="lt-LT"/>
              </w:rPr>
              <w:t>2.1.27. Trading platform</w:t>
            </w:r>
            <w:r w:rsidR="0043174E" w:rsidRPr="00E16344">
              <w:rPr>
                <w:rFonts w:cstheme="minorHAnsi"/>
                <w:sz w:val="20"/>
                <w:szCs w:val="20"/>
                <w:lang w:val="en-US" w:eastAsia="lt-LT"/>
              </w:rPr>
              <w:t xml:space="preserve"> means an electronic platform provided and operated by a trading platform operator by means of which trading participants may post and accept, including the right to revise and withdraw, bids and offers for gas required to meet short term fluctuations in gas demand or supply, in accordance with the terms and conditions applicable on the trading platform. - Regarding BAL NC Art. 3 (4):</w:t>
            </w:r>
          </w:p>
          <w:p w14:paraId="5C8C87D4" w14:textId="77777777" w:rsidR="0043174E" w:rsidRPr="00E16344" w:rsidRDefault="0043174E" w:rsidP="00A4324F">
            <w:pPr>
              <w:suppressAutoHyphens/>
              <w:ind w:left="360"/>
              <w:jc w:val="both"/>
              <w:rPr>
                <w:rFonts w:cstheme="minorHAnsi"/>
                <w:sz w:val="20"/>
                <w:szCs w:val="20"/>
                <w:lang w:val="en-US" w:eastAsia="lt-LT"/>
              </w:rPr>
            </w:pPr>
            <w:r w:rsidRPr="00E16344">
              <w:rPr>
                <w:rFonts w:cstheme="minorHAnsi"/>
                <w:sz w:val="20"/>
                <w:szCs w:val="20"/>
                <w:lang w:val="en-US" w:eastAsia="lt-LT"/>
              </w:rPr>
              <w:t xml:space="preserve">„(4)‘trading platform’ means an electronic platform provided and operated by a trading platform operator by means of which trading participants may post and accept, including the right to revise and withdraw, bids and offers for gas required to meet short term fluctuations in gas demand or supply, in accordance with the terms and conditions applicable on the trading platform </w:t>
            </w:r>
            <w:r w:rsidRPr="00E16344">
              <w:rPr>
                <w:rFonts w:cstheme="minorHAnsi"/>
                <w:b/>
                <w:sz w:val="20"/>
                <w:szCs w:val="20"/>
                <w:lang w:val="en-US" w:eastAsia="lt-LT"/>
              </w:rPr>
              <w:t>and at which the transmission system operator trades for the purpose of undertaking balancing actions</w:t>
            </w:r>
            <w:r w:rsidRPr="00E16344">
              <w:rPr>
                <w:rFonts w:cstheme="minorHAnsi"/>
                <w:sz w:val="20"/>
                <w:szCs w:val="20"/>
                <w:lang w:val="en-US" w:eastAsia="lt-LT"/>
              </w:rPr>
              <w:t>;“</w:t>
            </w:r>
          </w:p>
          <w:p w14:paraId="1643C74E" w14:textId="77777777" w:rsidR="0043174E" w:rsidRPr="00C56887" w:rsidRDefault="0043174E" w:rsidP="00C56887">
            <w:pPr>
              <w:pStyle w:val="CommentText"/>
              <w:ind w:left="326"/>
              <w:jc w:val="both"/>
              <w:rPr>
                <w:rFonts w:asciiTheme="minorHAnsi" w:hAnsiTheme="minorHAnsi" w:cstheme="minorHAnsi"/>
                <w:lang w:val="en-US"/>
              </w:rPr>
            </w:pPr>
            <w:r w:rsidRPr="00E16344">
              <w:rPr>
                <w:rFonts w:asciiTheme="minorHAnsi" w:hAnsiTheme="minorHAnsi" w:cstheme="minorHAnsi"/>
                <w:lang w:val="en-US" w:eastAsia="lt-LT"/>
              </w:rPr>
              <w:t>We ask to amend the Rules respectively.</w:t>
            </w:r>
          </w:p>
        </w:tc>
        <w:tc>
          <w:tcPr>
            <w:tcW w:w="5069" w:type="dxa"/>
          </w:tcPr>
          <w:p w14:paraId="4141B568" w14:textId="77777777" w:rsidR="00D90004" w:rsidRPr="00D90004" w:rsidRDefault="00D90004" w:rsidP="00A4324F">
            <w:pPr>
              <w:pStyle w:val="ListParagraph"/>
              <w:numPr>
                <w:ilvl w:val="0"/>
                <w:numId w:val="35"/>
              </w:numPr>
              <w:suppressAutoHyphens/>
              <w:spacing w:line="240" w:lineRule="auto"/>
              <w:jc w:val="both"/>
              <w:rPr>
                <w:sz w:val="20"/>
                <w:szCs w:val="20"/>
                <w:lang w:val="en-US" w:eastAsia="lt-LT"/>
              </w:rPr>
            </w:pPr>
            <w:r w:rsidRPr="00D90004">
              <w:rPr>
                <w:sz w:val="20"/>
                <w:szCs w:val="20"/>
                <w:lang w:val="en-US" w:eastAsia="lt-LT"/>
              </w:rPr>
              <w:lastRenderedPageBreak/>
              <w:t>The concept of Contracting TSO of the Common balancing zone is based on the TSO-TSO cooperation model, which means that from the network user perspective it is indifferent with which of the TSOs the balancing and transmission agreement is signed, because the TSO-TSO cooperation model ensures access for the network user to the whole transmission infrastructure of the Common balancing zone and single point of contact for all operations and customer support.</w:t>
            </w:r>
          </w:p>
          <w:p w14:paraId="10D927DB" w14:textId="77777777" w:rsidR="002F6D55" w:rsidRPr="00164E01" w:rsidRDefault="00D90004" w:rsidP="00040430">
            <w:pPr>
              <w:pStyle w:val="ListParagraph"/>
              <w:ind w:left="360"/>
              <w:jc w:val="both"/>
              <w:rPr>
                <w:rFonts w:eastAsia="Times New Roman"/>
                <w:sz w:val="20"/>
                <w:szCs w:val="20"/>
                <w:lang w:val="en-US" w:eastAsia="lt-LT"/>
              </w:rPr>
            </w:pPr>
            <w:r>
              <w:rPr>
                <w:sz w:val="20"/>
                <w:szCs w:val="20"/>
                <w:lang w:val="en-US" w:eastAsia="lt-LT"/>
              </w:rPr>
              <w:t>There can be a vast range of the criteria for the choice of the Contracting TSO, known only to the network users. TSOs will abstain from creation of any kind of the list of the limiting criteria in order not to hinder the development of the common gas market.</w:t>
            </w:r>
          </w:p>
          <w:p w14:paraId="75DAC490" w14:textId="77777777" w:rsidR="00D10B00" w:rsidRPr="00164E01" w:rsidRDefault="00575F89" w:rsidP="00A4324F">
            <w:pPr>
              <w:pStyle w:val="ListParagraph"/>
              <w:numPr>
                <w:ilvl w:val="0"/>
                <w:numId w:val="35"/>
              </w:numPr>
              <w:spacing w:line="240" w:lineRule="auto"/>
              <w:jc w:val="both"/>
              <w:rPr>
                <w:rFonts w:cstheme="minorHAnsi"/>
                <w:sz w:val="20"/>
                <w:szCs w:val="20"/>
              </w:rPr>
            </w:pPr>
            <w:r w:rsidRPr="00164E01">
              <w:rPr>
                <w:rFonts w:cstheme="minorHAnsi"/>
                <w:sz w:val="20"/>
                <w:szCs w:val="20"/>
                <w:lang w:val="en-US" w:eastAsia="lt-LT"/>
              </w:rPr>
              <w:t>Proposal will be taken into account.</w:t>
            </w:r>
          </w:p>
          <w:p w14:paraId="64B3B781" w14:textId="58D508E3" w:rsidR="00164E01" w:rsidRPr="00164E01" w:rsidRDefault="003E2A62" w:rsidP="00A4324F">
            <w:pPr>
              <w:pStyle w:val="ListParagraph"/>
              <w:numPr>
                <w:ilvl w:val="0"/>
                <w:numId w:val="35"/>
              </w:numPr>
              <w:spacing w:line="240" w:lineRule="auto"/>
              <w:jc w:val="both"/>
              <w:rPr>
                <w:rFonts w:cstheme="minorHAnsi"/>
                <w:sz w:val="20"/>
                <w:szCs w:val="20"/>
              </w:rPr>
            </w:pPr>
            <w:r w:rsidRPr="00164E01">
              <w:rPr>
                <w:rFonts w:cstheme="minorHAnsi"/>
                <w:sz w:val="20"/>
                <w:szCs w:val="20"/>
                <w:lang w:val="en-US" w:eastAsia="lt-LT"/>
              </w:rPr>
              <w:t>Will be changed accordingly.</w:t>
            </w:r>
          </w:p>
          <w:p w14:paraId="5D93BEFB" w14:textId="77777777" w:rsidR="00164E01" w:rsidRPr="00164E01" w:rsidRDefault="003E2A62" w:rsidP="00A4324F">
            <w:pPr>
              <w:pStyle w:val="ListParagraph"/>
              <w:numPr>
                <w:ilvl w:val="0"/>
                <w:numId w:val="35"/>
              </w:numPr>
              <w:spacing w:line="240" w:lineRule="auto"/>
              <w:jc w:val="both"/>
              <w:rPr>
                <w:rFonts w:cstheme="minorHAnsi"/>
                <w:sz w:val="20"/>
                <w:szCs w:val="20"/>
              </w:rPr>
            </w:pPr>
            <w:r w:rsidRPr="00164E01">
              <w:rPr>
                <w:sz w:val="20"/>
                <w:szCs w:val="20"/>
                <w:lang w:val="en-US" w:eastAsia="lt-LT"/>
              </w:rPr>
              <w:t>Will be changed accordingly.</w:t>
            </w:r>
          </w:p>
          <w:p w14:paraId="08128B56" w14:textId="2E60F649" w:rsidR="00164E01" w:rsidRPr="00D90004" w:rsidRDefault="00D90004" w:rsidP="00A4324F">
            <w:pPr>
              <w:pStyle w:val="ListParagraph"/>
              <w:numPr>
                <w:ilvl w:val="0"/>
                <w:numId w:val="35"/>
              </w:numPr>
              <w:spacing w:line="240" w:lineRule="auto"/>
              <w:jc w:val="both"/>
              <w:rPr>
                <w:rFonts w:cstheme="minorHAnsi"/>
                <w:sz w:val="20"/>
                <w:szCs w:val="20"/>
              </w:rPr>
            </w:pPr>
            <w:r w:rsidRPr="00D90004">
              <w:rPr>
                <w:rFonts w:eastAsia="Times New Roman"/>
                <w:sz w:val="20"/>
                <w:szCs w:val="20"/>
                <w:lang w:val="en-US" w:eastAsia="lt-LT"/>
              </w:rPr>
              <w:t xml:space="preserve">Proposal not taken into account. Definition in Gas Regulation is too broad. The definition in </w:t>
            </w:r>
            <w:r w:rsidR="00534EDC">
              <w:rPr>
                <w:rFonts w:eastAsia="Times New Roman"/>
                <w:sz w:val="20"/>
                <w:szCs w:val="20"/>
                <w:lang w:val="en-US" w:eastAsia="lt-LT"/>
              </w:rPr>
              <w:t>the Balancing</w:t>
            </w:r>
            <w:r w:rsidR="00534EDC" w:rsidRPr="00D90004">
              <w:rPr>
                <w:rFonts w:eastAsia="Times New Roman"/>
                <w:sz w:val="20"/>
                <w:szCs w:val="20"/>
                <w:lang w:val="en-US" w:eastAsia="lt-LT"/>
              </w:rPr>
              <w:t xml:space="preserve"> </w:t>
            </w:r>
            <w:r w:rsidRPr="00D90004">
              <w:rPr>
                <w:rFonts w:eastAsia="Times New Roman"/>
                <w:sz w:val="20"/>
                <w:szCs w:val="20"/>
                <w:lang w:val="en-US" w:eastAsia="lt-LT"/>
              </w:rPr>
              <w:t>Rules is extended to the required scope</w:t>
            </w:r>
            <w:r w:rsidR="00534EDC">
              <w:rPr>
                <w:rFonts w:eastAsia="Times New Roman"/>
                <w:sz w:val="20"/>
                <w:szCs w:val="20"/>
                <w:lang w:val="en-US" w:eastAsia="lt-LT"/>
              </w:rPr>
              <w:t>.</w:t>
            </w:r>
          </w:p>
          <w:p w14:paraId="4A782826" w14:textId="1EB2B16B" w:rsidR="00164E01" w:rsidRPr="00164E01" w:rsidRDefault="00164E01" w:rsidP="00A4324F">
            <w:pPr>
              <w:pStyle w:val="ListParagraph"/>
              <w:numPr>
                <w:ilvl w:val="0"/>
                <w:numId w:val="35"/>
              </w:numPr>
              <w:spacing w:line="240" w:lineRule="auto"/>
              <w:jc w:val="both"/>
              <w:rPr>
                <w:rFonts w:cstheme="minorHAnsi"/>
                <w:sz w:val="20"/>
                <w:szCs w:val="20"/>
              </w:rPr>
            </w:pPr>
            <w:r w:rsidRPr="00164E01">
              <w:rPr>
                <w:sz w:val="20"/>
                <w:szCs w:val="20"/>
                <w:lang w:eastAsia="lt-LT"/>
              </w:rPr>
              <w:t xml:space="preserve"> </w:t>
            </w:r>
            <w:r w:rsidR="0042566B">
              <w:rPr>
                <w:sz w:val="20"/>
                <w:szCs w:val="20"/>
                <w:lang w:eastAsia="lt-LT"/>
              </w:rPr>
              <w:t>Neutrality adjustment definition removed and definition of neutrality charge shall be used as defined in EU legislation</w:t>
            </w:r>
            <w:r w:rsidRPr="00164E01">
              <w:rPr>
                <w:sz w:val="20"/>
                <w:szCs w:val="20"/>
                <w:lang w:eastAsia="lt-LT"/>
              </w:rPr>
              <w:t>.</w:t>
            </w:r>
          </w:p>
          <w:p w14:paraId="7EA925B3" w14:textId="77777777" w:rsidR="00C644DF" w:rsidRPr="00164E01" w:rsidRDefault="00164E01" w:rsidP="00A4324F">
            <w:pPr>
              <w:pStyle w:val="ListParagraph"/>
              <w:numPr>
                <w:ilvl w:val="0"/>
                <w:numId w:val="35"/>
              </w:numPr>
              <w:spacing w:line="240" w:lineRule="auto"/>
              <w:jc w:val="both"/>
              <w:rPr>
                <w:rFonts w:cstheme="minorHAnsi"/>
                <w:sz w:val="20"/>
                <w:szCs w:val="20"/>
              </w:rPr>
            </w:pPr>
            <w:r w:rsidRPr="00164E01">
              <w:rPr>
                <w:rFonts w:cstheme="minorHAnsi"/>
                <w:sz w:val="20"/>
                <w:szCs w:val="20"/>
                <w:lang w:val="en-US" w:eastAsia="lt-LT"/>
              </w:rPr>
              <w:lastRenderedPageBreak/>
              <w:t>Will be changed accordingly.</w:t>
            </w:r>
          </w:p>
          <w:p w14:paraId="3A183372" w14:textId="0FEB5887" w:rsidR="00164E01" w:rsidRPr="00164E01" w:rsidRDefault="00164E01" w:rsidP="00A4324F">
            <w:pPr>
              <w:pStyle w:val="ListParagraph"/>
              <w:numPr>
                <w:ilvl w:val="0"/>
                <w:numId w:val="35"/>
              </w:numPr>
              <w:spacing w:line="240" w:lineRule="auto"/>
              <w:jc w:val="both"/>
              <w:rPr>
                <w:rFonts w:cstheme="minorHAnsi"/>
                <w:sz w:val="20"/>
                <w:szCs w:val="20"/>
              </w:rPr>
            </w:pPr>
            <w:r w:rsidRPr="00164E01">
              <w:rPr>
                <w:rFonts w:cstheme="minorHAnsi"/>
                <w:sz w:val="20"/>
                <w:szCs w:val="20"/>
                <w:lang w:val="en-US" w:eastAsia="lt-LT"/>
              </w:rPr>
              <w:t>Will be changed accordingly</w:t>
            </w:r>
            <w:r w:rsidR="0042566B">
              <w:rPr>
                <w:rFonts w:cstheme="minorHAnsi"/>
                <w:sz w:val="20"/>
                <w:szCs w:val="20"/>
                <w:lang w:val="en-US" w:eastAsia="lt-LT"/>
              </w:rPr>
              <w:t xml:space="preserve"> (definition is used as defined in EU legislation)</w:t>
            </w:r>
            <w:r w:rsidRPr="00164E01">
              <w:rPr>
                <w:rFonts w:cstheme="minorHAnsi"/>
                <w:sz w:val="20"/>
                <w:szCs w:val="20"/>
                <w:lang w:val="en-US" w:eastAsia="lt-LT"/>
              </w:rPr>
              <w:t>.</w:t>
            </w:r>
          </w:p>
          <w:p w14:paraId="4D7A7A26" w14:textId="77777777" w:rsidR="00164E01" w:rsidRPr="00164E01" w:rsidRDefault="00164E01" w:rsidP="00A4324F">
            <w:pPr>
              <w:pStyle w:val="ListParagraph"/>
              <w:spacing w:line="240" w:lineRule="auto"/>
              <w:jc w:val="both"/>
              <w:rPr>
                <w:rFonts w:cstheme="minorHAnsi"/>
                <w:sz w:val="20"/>
                <w:szCs w:val="20"/>
              </w:rPr>
            </w:pPr>
          </w:p>
        </w:tc>
      </w:tr>
      <w:tr w:rsidR="00E540E7" w:rsidRPr="00E16344" w14:paraId="35079D7D" w14:textId="77777777" w:rsidTr="006766D3">
        <w:tc>
          <w:tcPr>
            <w:tcW w:w="13995" w:type="dxa"/>
            <w:gridSpan w:val="2"/>
            <w:shd w:val="clear" w:color="auto" w:fill="E7E6E6" w:themeFill="background2"/>
            <w:vAlign w:val="center"/>
          </w:tcPr>
          <w:p w14:paraId="7A15E538" w14:textId="77777777" w:rsidR="00E540E7" w:rsidRPr="00E16344" w:rsidRDefault="00E540E7" w:rsidP="00A4324F">
            <w:pPr>
              <w:pStyle w:val="Heading2"/>
              <w:jc w:val="both"/>
              <w:outlineLvl w:val="1"/>
            </w:pPr>
            <w:r w:rsidRPr="00E16344">
              <w:lastRenderedPageBreak/>
              <w:t xml:space="preserve">Conclusion of the balancing agreement </w:t>
            </w:r>
          </w:p>
        </w:tc>
      </w:tr>
      <w:tr w:rsidR="00C644DF" w:rsidRPr="00E16344" w14:paraId="6A6C26B8" w14:textId="77777777" w:rsidTr="00C644DF">
        <w:tc>
          <w:tcPr>
            <w:tcW w:w="8926" w:type="dxa"/>
          </w:tcPr>
          <w:p w14:paraId="00319FE7" w14:textId="77777777" w:rsidR="001F2632" w:rsidRPr="00E16344" w:rsidRDefault="001F2632" w:rsidP="00A4324F">
            <w:pPr>
              <w:jc w:val="both"/>
              <w:rPr>
                <w:rFonts w:cstheme="minorHAnsi"/>
                <w:sz w:val="20"/>
                <w:szCs w:val="20"/>
              </w:rPr>
            </w:pPr>
          </w:p>
        </w:tc>
        <w:tc>
          <w:tcPr>
            <w:tcW w:w="5069" w:type="dxa"/>
          </w:tcPr>
          <w:p w14:paraId="0AD00C15" w14:textId="77777777" w:rsidR="00C644DF" w:rsidRPr="00E16344" w:rsidRDefault="00C644DF" w:rsidP="00A4324F">
            <w:pPr>
              <w:jc w:val="both"/>
              <w:rPr>
                <w:rFonts w:cstheme="minorHAnsi"/>
                <w:sz w:val="20"/>
                <w:szCs w:val="20"/>
              </w:rPr>
            </w:pPr>
          </w:p>
        </w:tc>
      </w:tr>
      <w:tr w:rsidR="006766D3" w:rsidRPr="00E16344" w14:paraId="3B7C4E39" w14:textId="77777777" w:rsidTr="006766D3">
        <w:tc>
          <w:tcPr>
            <w:tcW w:w="13995" w:type="dxa"/>
            <w:gridSpan w:val="2"/>
            <w:shd w:val="clear" w:color="auto" w:fill="E7E6E6" w:themeFill="background2"/>
            <w:vAlign w:val="center"/>
          </w:tcPr>
          <w:p w14:paraId="521645B0" w14:textId="77777777" w:rsidR="006766D3" w:rsidRPr="00E16344" w:rsidRDefault="006766D3" w:rsidP="00A4324F">
            <w:pPr>
              <w:pStyle w:val="Heading2"/>
              <w:jc w:val="both"/>
              <w:outlineLvl w:val="1"/>
            </w:pPr>
            <w:r w:rsidRPr="00E16344">
              <w:t>Credit management and collaterals</w:t>
            </w:r>
          </w:p>
        </w:tc>
      </w:tr>
      <w:tr w:rsidR="00C644DF" w:rsidRPr="00E16344" w14:paraId="2F2DFE48" w14:textId="77777777" w:rsidTr="00C644DF">
        <w:tc>
          <w:tcPr>
            <w:tcW w:w="8926" w:type="dxa"/>
          </w:tcPr>
          <w:p w14:paraId="2AD1C004" w14:textId="1CE6D6FA" w:rsidR="00C644DF" w:rsidRPr="00E16344" w:rsidRDefault="000F67E6" w:rsidP="00A4324F">
            <w:pPr>
              <w:jc w:val="both"/>
              <w:rPr>
                <w:rFonts w:cstheme="minorHAnsi"/>
                <w:sz w:val="20"/>
                <w:szCs w:val="20"/>
              </w:rPr>
            </w:pPr>
            <w:r>
              <w:rPr>
                <w:rFonts w:cstheme="minorHAnsi"/>
                <w:sz w:val="20"/>
                <w:szCs w:val="20"/>
              </w:rPr>
              <w:t>Stakeholder 5</w:t>
            </w:r>
          </w:p>
          <w:p w14:paraId="4BC03517" w14:textId="77777777" w:rsidR="00523DAC" w:rsidRPr="00E16344" w:rsidRDefault="00523DAC" w:rsidP="00A4324F">
            <w:pPr>
              <w:ind w:left="34"/>
              <w:contextualSpacing/>
              <w:jc w:val="both"/>
              <w:rPr>
                <w:rFonts w:cstheme="minorHAnsi"/>
                <w:sz w:val="20"/>
                <w:szCs w:val="20"/>
                <w:lang w:val="en-US"/>
              </w:rPr>
            </w:pPr>
            <w:r w:rsidRPr="00E16344">
              <w:rPr>
                <w:rFonts w:cstheme="minorHAnsi"/>
                <w:sz w:val="20"/>
                <w:szCs w:val="20"/>
                <w:lang w:val="en-US"/>
              </w:rPr>
              <w:t>BAL NC Art. 30 (2):</w:t>
            </w:r>
          </w:p>
          <w:p w14:paraId="27C192D1" w14:textId="77777777" w:rsidR="00523DAC" w:rsidRPr="00E16344" w:rsidRDefault="00523DAC" w:rsidP="00A4324F">
            <w:pPr>
              <w:ind w:left="34"/>
              <w:contextualSpacing/>
              <w:jc w:val="both"/>
              <w:rPr>
                <w:rFonts w:cstheme="minorHAnsi"/>
                <w:sz w:val="20"/>
                <w:szCs w:val="20"/>
                <w:lang w:val="en-US"/>
              </w:rPr>
            </w:pPr>
            <w:r w:rsidRPr="00E16344">
              <w:rPr>
                <w:rFonts w:cstheme="minorHAnsi"/>
                <w:sz w:val="20"/>
                <w:szCs w:val="20"/>
                <w:lang w:val="en-US"/>
              </w:rPr>
              <w:lastRenderedPageBreak/>
              <w:t>„</w:t>
            </w:r>
            <w:r w:rsidRPr="00E16344">
              <w:rPr>
                <w:rFonts w:cstheme="minorHAnsi"/>
                <w:i/>
                <w:sz w:val="20"/>
                <w:szCs w:val="20"/>
                <w:lang w:val="en-US"/>
              </w:rPr>
              <w:t>2. The national regulatory authority shall set or approve and publish the methodology for the calculation of the neutrality charges for balancing, including their apportionment amongst network users and credit risk management rules</w:t>
            </w:r>
            <w:r w:rsidRPr="00E16344">
              <w:rPr>
                <w:rFonts w:cstheme="minorHAnsi"/>
                <w:sz w:val="20"/>
                <w:szCs w:val="20"/>
                <w:lang w:val="en-US"/>
              </w:rPr>
              <w:t>.“</w:t>
            </w:r>
          </w:p>
          <w:p w14:paraId="482A1F23" w14:textId="77777777" w:rsidR="00523DAC" w:rsidRPr="00E16344" w:rsidRDefault="00523DAC" w:rsidP="00A4324F">
            <w:pPr>
              <w:ind w:left="34"/>
              <w:contextualSpacing/>
              <w:jc w:val="both"/>
              <w:rPr>
                <w:rFonts w:cstheme="minorHAnsi"/>
                <w:sz w:val="20"/>
                <w:szCs w:val="20"/>
                <w:lang w:val="en-US"/>
              </w:rPr>
            </w:pPr>
            <w:r w:rsidRPr="00E16344">
              <w:rPr>
                <w:rFonts w:cstheme="minorHAnsi"/>
                <w:sz w:val="20"/>
                <w:szCs w:val="20"/>
                <w:lang w:val="en-US"/>
              </w:rPr>
              <w:t>Credit management rules of TSO including creditworthiness, credit management and collaterals of network users should be approved by the NRAs.</w:t>
            </w:r>
          </w:p>
          <w:p w14:paraId="12F958EF" w14:textId="77777777" w:rsidR="001F2632" w:rsidRPr="00C56887" w:rsidRDefault="00523DAC" w:rsidP="00C56887">
            <w:pPr>
              <w:tabs>
                <w:tab w:val="left" w:pos="851"/>
              </w:tabs>
              <w:suppressAutoHyphens/>
              <w:ind w:left="34"/>
              <w:jc w:val="both"/>
              <w:textAlignment w:val="baseline"/>
              <w:rPr>
                <w:rFonts w:cstheme="minorHAnsi"/>
                <w:sz w:val="20"/>
                <w:szCs w:val="20"/>
                <w:lang w:val="en-US"/>
              </w:rPr>
            </w:pPr>
            <w:r w:rsidRPr="00E16344">
              <w:rPr>
                <w:rFonts w:cstheme="minorHAnsi"/>
                <w:sz w:val="20"/>
                <w:szCs w:val="20"/>
                <w:lang w:val="en-US"/>
              </w:rPr>
              <w:t>Since the transmission service agreement is not consulted it is not clear how the requirements would be implemented. If it is not implemented by approving this document NRAs need to approve it by the other decision. Since, there is a common balancing zone TSOs and NRAs should match and comply differences of national legislation and approve single conditions for market participants to enter the market otherwise network users would be discriminated regarded geographical area.</w:t>
            </w:r>
          </w:p>
        </w:tc>
        <w:tc>
          <w:tcPr>
            <w:tcW w:w="5069" w:type="dxa"/>
          </w:tcPr>
          <w:p w14:paraId="02D58CCA" w14:textId="0511D402" w:rsidR="00D90004" w:rsidRDefault="006F6E68" w:rsidP="00A4324F">
            <w:pPr>
              <w:ind w:left="34"/>
              <w:contextualSpacing/>
              <w:jc w:val="both"/>
              <w:rPr>
                <w:sz w:val="20"/>
                <w:szCs w:val="20"/>
                <w:lang w:val="en-US"/>
              </w:rPr>
            </w:pPr>
            <w:r>
              <w:rPr>
                <w:sz w:val="20"/>
                <w:szCs w:val="20"/>
                <w:lang w:val="en-US"/>
              </w:rPr>
              <w:lastRenderedPageBreak/>
              <w:t>Taking into account the current differences in the national legislation of Latvia and Estonia, the rules on credit management and collaterals currently are foreseen to differ</w:t>
            </w:r>
            <w:r w:rsidR="00D90004">
              <w:rPr>
                <w:sz w:val="20"/>
                <w:szCs w:val="20"/>
                <w:lang w:val="en-US"/>
              </w:rPr>
              <w:t xml:space="preserve">. There will be no discrimination, because all network </w:t>
            </w:r>
            <w:r w:rsidR="00D90004">
              <w:rPr>
                <w:sz w:val="20"/>
                <w:szCs w:val="20"/>
                <w:lang w:val="en-US"/>
              </w:rPr>
              <w:lastRenderedPageBreak/>
              <w:t>users have rights to sign agreements with any of TSOs</w:t>
            </w:r>
            <w:r w:rsidR="00534EDC">
              <w:rPr>
                <w:sz w:val="20"/>
                <w:szCs w:val="20"/>
                <w:lang w:val="en-US"/>
              </w:rPr>
              <w:t>, while only limitation to this can be considered as a discrimination</w:t>
            </w:r>
            <w:r w:rsidR="00D90004">
              <w:rPr>
                <w:sz w:val="20"/>
                <w:szCs w:val="20"/>
                <w:lang w:val="en-US"/>
              </w:rPr>
              <w:t>.</w:t>
            </w:r>
          </w:p>
          <w:p w14:paraId="5586CB31" w14:textId="736B55BF" w:rsidR="00C644DF" w:rsidRPr="00E16344" w:rsidRDefault="00C644DF" w:rsidP="00A4324F">
            <w:pPr>
              <w:jc w:val="both"/>
              <w:rPr>
                <w:rFonts w:cstheme="minorHAnsi"/>
                <w:sz w:val="20"/>
                <w:szCs w:val="20"/>
              </w:rPr>
            </w:pPr>
          </w:p>
        </w:tc>
      </w:tr>
      <w:tr w:rsidR="006766D3" w:rsidRPr="00E16344" w14:paraId="736D5209" w14:textId="77777777" w:rsidTr="006766D3">
        <w:trPr>
          <w:trHeight w:val="405"/>
        </w:trPr>
        <w:tc>
          <w:tcPr>
            <w:tcW w:w="13995" w:type="dxa"/>
            <w:gridSpan w:val="2"/>
            <w:shd w:val="clear" w:color="auto" w:fill="E7E6E6" w:themeFill="background2"/>
            <w:vAlign w:val="center"/>
          </w:tcPr>
          <w:p w14:paraId="1280D4B8" w14:textId="77777777" w:rsidR="006766D3" w:rsidRPr="00E16344" w:rsidRDefault="006766D3" w:rsidP="00A4324F">
            <w:pPr>
              <w:pStyle w:val="Heading2"/>
              <w:jc w:val="both"/>
              <w:outlineLvl w:val="1"/>
            </w:pPr>
            <w:r w:rsidRPr="00E16344">
              <w:lastRenderedPageBreak/>
              <w:t>Balance responsibility and Transfer of Balance responsibility</w:t>
            </w:r>
          </w:p>
        </w:tc>
      </w:tr>
      <w:tr w:rsidR="00C644DF" w:rsidRPr="00E16344" w14:paraId="11B20A8B" w14:textId="77777777" w:rsidTr="00C644DF">
        <w:trPr>
          <w:trHeight w:val="405"/>
        </w:trPr>
        <w:tc>
          <w:tcPr>
            <w:tcW w:w="8926" w:type="dxa"/>
          </w:tcPr>
          <w:p w14:paraId="43F11024" w14:textId="032DB41C" w:rsidR="00C644DF" w:rsidRPr="00E16344" w:rsidRDefault="000F67E6" w:rsidP="00A4324F">
            <w:pPr>
              <w:jc w:val="both"/>
              <w:rPr>
                <w:rFonts w:cstheme="minorHAnsi"/>
                <w:sz w:val="20"/>
                <w:szCs w:val="20"/>
              </w:rPr>
            </w:pPr>
            <w:r>
              <w:rPr>
                <w:rFonts w:cstheme="minorHAnsi"/>
                <w:sz w:val="20"/>
                <w:szCs w:val="20"/>
              </w:rPr>
              <w:t>Stakeholder 2</w:t>
            </w:r>
          </w:p>
          <w:p w14:paraId="12050C13" w14:textId="77777777" w:rsidR="00C644DF" w:rsidRPr="00E16344" w:rsidRDefault="00C644DF" w:rsidP="00A4324F">
            <w:pPr>
              <w:jc w:val="both"/>
              <w:rPr>
                <w:rFonts w:cstheme="minorHAnsi"/>
                <w:sz w:val="20"/>
                <w:szCs w:val="20"/>
              </w:rPr>
            </w:pPr>
            <w:r w:rsidRPr="00E16344">
              <w:rPr>
                <w:rFonts w:eastAsia="Times New Roman" w:cstheme="minorHAnsi"/>
                <w:sz w:val="20"/>
                <w:szCs w:val="20"/>
                <w:lang w:val="en-GB" w:eastAsia="en-GB"/>
              </w:rPr>
              <w:t>Would prefer if transfer of balance responsibility would rather take place via online platform.</w:t>
            </w:r>
          </w:p>
        </w:tc>
        <w:tc>
          <w:tcPr>
            <w:tcW w:w="5069" w:type="dxa"/>
          </w:tcPr>
          <w:p w14:paraId="66ACE3F5" w14:textId="77777777" w:rsidR="00C644DF" w:rsidRPr="00E16344" w:rsidRDefault="00575F89" w:rsidP="00A4324F">
            <w:pPr>
              <w:jc w:val="both"/>
              <w:rPr>
                <w:rFonts w:cstheme="minorHAnsi"/>
                <w:sz w:val="20"/>
                <w:szCs w:val="20"/>
              </w:rPr>
            </w:pPr>
            <w:r>
              <w:rPr>
                <w:rFonts w:cstheme="minorHAnsi"/>
                <w:sz w:val="20"/>
                <w:szCs w:val="20"/>
              </w:rPr>
              <w:t>Currently it is not foreseen that the transfer of</w:t>
            </w:r>
            <w:r w:rsidR="00263ADA">
              <w:rPr>
                <w:rFonts w:cstheme="minorHAnsi"/>
                <w:sz w:val="20"/>
                <w:szCs w:val="20"/>
              </w:rPr>
              <w:t xml:space="preserve"> balance responsibility will be allowed via an online platform</w:t>
            </w:r>
            <w:r w:rsidR="007633F6">
              <w:rPr>
                <w:rFonts w:cstheme="minorHAnsi"/>
                <w:sz w:val="20"/>
                <w:szCs w:val="20"/>
              </w:rPr>
              <w:t>, but is foreseen</w:t>
            </w:r>
            <w:r w:rsidR="00BD17F8">
              <w:rPr>
                <w:rFonts w:cstheme="minorHAnsi"/>
                <w:sz w:val="20"/>
                <w:szCs w:val="20"/>
              </w:rPr>
              <w:t xml:space="preserve"> </w:t>
            </w:r>
            <w:r w:rsidR="007633F6">
              <w:rPr>
                <w:rFonts w:cstheme="minorHAnsi"/>
                <w:sz w:val="20"/>
                <w:szCs w:val="20"/>
              </w:rPr>
              <w:t>to be implemented in future.</w:t>
            </w:r>
          </w:p>
        </w:tc>
      </w:tr>
      <w:tr w:rsidR="00C644DF" w:rsidRPr="00E16344" w14:paraId="5D2E86E5" w14:textId="77777777" w:rsidTr="00DC1861">
        <w:trPr>
          <w:trHeight w:val="405"/>
        </w:trPr>
        <w:tc>
          <w:tcPr>
            <w:tcW w:w="8926" w:type="dxa"/>
          </w:tcPr>
          <w:p w14:paraId="764B367B" w14:textId="38366159" w:rsidR="00C644DF" w:rsidRPr="00E16344" w:rsidRDefault="000F67E6" w:rsidP="00A4324F">
            <w:pPr>
              <w:jc w:val="both"/>
              <w:rPr>
                <w:rFonts w:cstheme="minorHAnsi"/>
                <w:sz w:val="20"/>
                <w:szCs w:val="20"/>
              </w:rPr>
            </w:pPr>
            <w:r>
              <w:rPr>
                <w:rFonts w:cstheme="minorHAnsi"/>
                <w:sz w:val="20"/>
                <w:szCs w:val="20"/>
              </w:rPr>
              <w:t>Stakeholder 5</w:t>
            </w:r>
          </w:p>
          <w:p w14:paraId="3E761188" w14:textId="77777777" w:rsidR="00196B37" w:rsidRPr="00E16344" w:rsidRDefault="00196B37" w:rsidP="00A4324F">
            <w:pPr>
              <w:pStyle w:val="ListParagraph"/>
              <w:numPr>
                <w:ilvl w:val="0"/>
                <w:numId w:val="18"/>
              </w:numPr>
              <w:tabs>
                <w:tab w:val="left" w:pos="851"/>
              </w:tabs>
              <w:suppressAutoHyphens/>
              <w:spacing w:line="240" w:lineRule="auto"/>
              <w:jc w:val="both"/>
              <w:textAlignment w:val="baseline"/>
              <w:rPr>
                <w:rFonts w:cstheme="minorHAnsi"/>
                <w:sz w:val="20"/>
                <w:szCs w:val="20"/>
                <w:lang w:val="en-US" w:eastAsia="lt-LT"/>
              </w:rPr>
            </w:pPr>
            <w:r w:rsidRPr="00E16344">
              <w:rPr>
                <w:rFonts w:cstheme="minorHAnsi"/>
                <w:sz w:val="20"/>
                <w:szCs w:val="20"/>
                <w:lang w:val="en-US" w:eastAsia="lt-LT"/>
              </w:rPr>
              <w:t xml:space="preserve">5. Balance responsibility and transfer of balance responsibility &lt;…&gt; </w:t>
            </w:r>
            <w:r w:rsidRPr="00263ADA">
              <w:rPr>
                <w:rFonts w:cstheme="minorHAnsi"/>
                <w:i/>
                <w:sz w:val="20"/>
                <w:szCs w:val="20"/>
                <w:lang w:val="en-US" w:eastAsia="lt-LT"/>
              </w:rPr>
              <w:t>5.2. The network user (the ‘transferring network user’ ) may transfer its balance responsibility to another network user by notifying a transfer of balance responsibility to the TSO of the transferring network user</w:t>
            </w:r>
            <w:r w:rsidRPr="00E16344">
              <w:rPr>
                <w:rFonts w:cstheme="minorHAnsi"/>
                <w:sz w:val="20"/>
                <w:szCs w:val="20"/>
                <w:lang w:val="en-US" w:eastAsia="lt-LT"/>
              </w:rPr>
              <w:t xml:space="preserve"> - We suggest establishing a definition which is commonly used in the energy market to define this concept – balance responsible party:</w:t>
            </w:r>
          </w:p>
          <w:p w14:paraId="528B6A31" w14:textId="77777777" w:rsidR="00196B37" w:rsidRPr="00E16344" w:rsidRDefault="00196B37" w:rsidP="00A4324F">
            <w:pPr>
              <w:tabs>
                <w:tab w:val="left" w:pos="851"/>
              </w:tabs>
              <w:suppressAutoHyphens/>
              <w:ind w:left="360"/>
              <w:jc w:val="both"/>
              <w:textAlignment w:val="baseline"/>
              <w:rPr>
                <w:rFonts w:cstheme="minorHAnsi"/>
                <w:sz w:val="20"/>
                <w:szCs w:val="20"/>
                <w:lang w:val="en-US" w:eastAsia="lt-LT"/>
              </w:rPr>
            </w:pPr>
            <w:r w:rsidRPr="00E16344">
              <w:rPr>
                <w:rFonts w:cstheme="minorHAnsi"/>
                <w:sz w:val="20"/>
                <w:szCs w:val="20"/>
                <w:lang w:val="en-US" w:eastAsia="lt-LT"/>
              </w:rPr>
              <w:t>“</w:t>
            </w:r>
            <w:r w:rsidRPr="00E16344">
              <w:rPr>
                <w:rFonts w:cstheme="minorHAnsi"/>
                <w:i/>
                <w:sz w:val="20"/>
                <w:szCs w:val="20"/>
                <w:lang w:val="en-US" w:eastAsia="lt-LT"/>
              </w:rPr>
              <w:t>Balance Responsible Party (hereinafter – BRP) means a Network User that has assumed the balance responsibility for its own Balance Portfolio and, potentially, the Balance Portfolio of other Network Users</w:t>
            </w:r>
            <w:r w:rsidRPr="00E16344">
              <w:rPr>
                <w:rFonts w:cstheme="minorHAnsi"/>
                <w:sz w:val="20"/>
                <w:szCs w:val="20"/>
                <w:lang w:val="en-US" w:eastAsia="lt-LT"/>
              </w:rPr>
              <w:t>.”</w:t>
            </w:r>
          </w:p>
          <w:p w14:paraId="4975C732" w14:textId="77777777" w:rsidR="00196B37" w:rsidRPr="00E16344" w:rsidRDefault="00196B37" w:rsidP="00A4324F">
            <w:pPr>
              <w:pStyle w:val="ListParagraph"/>
              <w:numPr>
                <w:ilvl w:val="0"/>
                <w:numId w:val="18"/>
              </w:numPr>
              <w:spacing w:line="240" w:lineRule="auto"/>
              <w:jc w:val="both"/>
              <w:rPr>
                <w:rFonts w:cstheme="minorHAnsi"/>
                <w:sz w:val="20"/>
                <w:szCs w:val="20"/>
              </w:rPr>
            </w:pPr>
            <w:r w:rsidRPr="00263ADA">
              <w:rPr>
                <w:rFonts w:cstheme="minorHAnsi"/>
                <w:i/>
                <w:sz w:val="20"/>
                <w:szCs w:val="20"/>
                <w:lang w:val="en-US"/>
              </w:rPr>
              <w:t>The transfer statement referred to in article 5.2(a) shall be based on a template, which is published on the website of the TSO and which has been jointly developed and agreed by the TSOs operating in the common balancing zone</w:t>
            </w:r>
            <w:r w:rsidRPr="00E16344">
              <w:rPr>
                <w:rFonts w:cstheme="minorHAnsi"/>
                <w:sz w:val="20"/>
                <w:szCs w:val="20"/>
                <w:lang w:val="en-US"/>
              </w:rPr>
              <w:t xml:space="preserve"> - </w:t>
            </w:r>
            <w:r w:rsidRPr="00E16344">
              <w:rPr>
                <w:rFonts w:cstheme="minorHAnsi"/>
                <w:sz w:val="20"/>
                <w:szCs w:val="20"/>
                <w:lang w:val="en-US" w:eastAsia="lt-LT"/>
              </w:rPr>
              <w:t>We suggest setting the technical requirements and criteria related with TSO discretion / competence for this agreement template in these Rules</w:t>
            </w:r>
          </w:p>
        </w:tc>
        <w:tc>
          <w:tcPr>
            <w:tcW w:w="5069" w:type="dxa"/>
            <w:shd w:val="clear" w:color="auto" w:fill="auto"/>
          </w:tcPr>
          <w:p w14:paraId="4667AA7F" w14:textId="33F22F79" w:rsidR="00C644DF" w:rsidRPr="00C56887" w:rsidRDefault="00C56887" w:rsidP="00C56887">
            <w:pPr>
              <w:jc w:val="both"/>
              <w:rPr>
                <w:rFonts w:cstheme="minorHAnsi"/>
                <w:sz w:val="20"/>
                <w:szCs w:val="20"/>
              </w:rPr>
            </w:pPr>
            <w:r>
              <w:rPr>
                <w:rFonts w:cstheme="minorHAnsi"/>
                <w:sz w:val="20"/>
                <w:szCs w:val="20"/>
              </w:rPr>
              <w:t>1.</w:t>
            </w:r>
            <w:r w:rsidR="00BD17F8">
              <w:rPr>
                <w:rFonts w:cstheme="minorHAnsi"/>
                <w:sz w:val="20"/>
                <w:szCs w:val="20"/>
              </w:rPr>
              <w:t>W</w:t>
            </w:r>
            <w:r w:rsidR="00263ADA" w:rsidRPr="00C56887">
              <w:rPr>
                <w:rFonts w:cstheme="minorHAnsi"/>
                <w:sz w:val="20"/>
                <w:szCs w:val="20"/>
              </w:rPr>
              <w:t xml:space="preserve">hen signing the balancing agreement, </w:t>
            </w:r>
            <w:r w:rsidR="00BD17F8">
              <w:rPr>
                <w:rFonts w:cstheme="minorHAnsi"/>
                <w:sz w:val="20"/>
                <w:szCs w:val="20"/>
              </w:rPr>
              <w:t xml:space="preserve">the network user </w:t>
            </w:r>
            <w:r w:rsidR="00263ADA" w:rsidRPr="00C56887">
              <w:rPr>
                <w:rFonts w:cstheme="minorHAnsi"/>
                <w:sz w:val="20"/>
                <w:szCs w:val="20"/>
              </w:rPr>
              <w:t>becomes responsible for it’s own balance portfolio</w:t>
            </w:r>
            <w:r w:rsidR="00BD17F8">
              <w:rPr>
                <w:rFonts w:cstheme="minorHAnsi"/>
                <w:sz w:val="20"/>
                <w:szCs w:val="20"/>
              </w:rPr>
              <w:t xml:space="preserve"> (grouping of network user’s inputs and off-takes as stipulated in Art.3(13) of BAL NC)</w:t>
            </w:r>
            <w:r w:rsidR="00263ADA" w:rsidRPr="00C56887">
              <w:rPr>
                <w:rFonts w:cstheme="minorHAnsi"/>
                <w:sz w:val="20"/>
                <w:szCs w:val="20"/>
              </w:rPr>
              <w:t>.</w:t>
            </w:r>
            <w:r w:rsidR="00F25258">
              <w:rPr>
                <w:rFonts w:cstheme="minorHAnsi"/>
                <w:sz w:val="20"/>
                <w:szCs w:val="20"/>
              </w:rPr>
              <w:t xml:space="preserve"> The balance responsibility from the transmission system operator’s perspective is attributable to the network user signing the balancing agreement, but relevant is the actual transfer of balance responsibility and its description in the rules.</w:t>
            </w:r>
          </w:p>
          <w:p w14:paraId="1204A21B" w14:textId="77777777" w:rsidR="00DC1861" w:rsidRPr="00DC1861" w:rsidRDefault="00DC1861" w:rsidP="00A4324F">
            <w:pPr>
              <w:jc w:val="both"/>
              <w:rPr>
                <w:rFonts w:cstheme="minorHAnsi"/>
                <w:sz w:val="20"/>
                <w:szCs w:val="20"/>
              </w:rPr>
            </w:pPr>
            <w:r>
              <w:rPr>
                <w:rFonts w:cstheme="minorHAnsi"/>
                <w:sz w:val="20"/>
                <w:szCs w:val="20"/>
              </w:rPr>
              <w:t>2. Current rules contain necessary information regarding transfer of balance responsibility. The statement referred to in the rules will not be an agreement, but a statement about the transfer. Network users may enter</w:t>
            </w:r>
            <w:r w:rsidR="00BD17F8">
              <w:rPr>
                <w:rFonts w:cstheme="minorHAnsi"/>
                <w:sz w:val="20"/>
                <w:szCs w:val="20"/>
              </w:rPr>
              <w:t>, for instance,</w:t>
            </w:r>
            <w:r>
              <w:rPr>
                <w:rFonts w:cstheme="minorHAnsi"/>
                <w:sz w:val="20"/>
                <w:szCs w:val="20"/>
              </w:rPr>
              <w:t xml:space="preserve"> into contractual relations between themselves.</w:t>
            </w:r>
          </w:p>
          <w:p w14:paraId="56CBA2B9" w14:textId="77777777" w:rsidR="00263ADA" w:rsidRPr="00E16344" w:rsidRDefault="00263ADA" w:rsidP="00A4324F">
            <w:pPr>
              <w:jc w:val="both"/>
              <w:rPr>
                <w:rFonts w:cstheme="minorHAnsi"/>
                <w:sz w:val="20"/>
                <w:szCs w:val="20"/>
              </w:rPr>
            </w:pPr>
          </w:p>
        </w:tc>
      </w:tr>
      <w:tr w:rsidR="006766D3" w:rsidRPr="00E16344" w14:paraId="7AA2BB92" w14:textId="77777777" w:rsidTr="00E16344">
        <w:trPr>
          <w:trHeight w:val="344"/>
        </w:trPr>
        <w:tc>
          <w:tcPr>
            <w:tcW w:w="13995" w:type="dxa"/>
            <w:gridSpan w:val="2"/>
            <w:shd w:val="clear" w:color="auto" w:fill="E7E6E6" w:themeFill="background2"/>
            <w:vAlign w:val="center"/>
          </w:tcPr>
          <w:p w14:paraId="5CF9EA6A" w14:textId="77777777" w:rsidR="006766D3" w:rsidRPr="00E16344" w:rsidRDefault="006766D3" w:rsidP="00A4324F">
            <w:pPr>
              <w:pStyle w:val="Heading2"/>
              <w:jc w:val="both"/>
              <w:outlineLvl w:val="1"/>
            </w:pPr>
            <w:r w:rsidRPr="00E16344">
              <w:t xml:space="preserve">Virtual </w:t>
            </w:r>
            <w:r w:rsidRPr="00C83420">
              <w:t>Trading</w:t>
            </w:r>
            <w:r w:rsidRPr="00E16344">
              <w:t xml:space="preserve"> Point of the Common Balancing Zone</w:t>
            </w:r>
          </w:p>
        </w:tc>
      </w:tr>
      <w:tr w:rsidR="00C644DF" w:rsidRPr="00E16344" w14:paraId="6D40E076" w14:textId="77777777" w:rsidTr="00C644DF">
        <w:trPr>
          <w:trHeight w:val="938"/>
        </w:trPr>
        <w:tc>
          <w:tcPr>
            <w:tcW w:w="8926" w:type="dxa"/>
          </w:tcPr>
          <w:p w14:paraId="5002D2CA" w14:textId="3D07BE52" w:rsidR="00C644DF" w:rsidRPr="00E16344" w:rsidRDefault="000F67E6" w:rsidP="00A4324F">
            <w:pPr>
              <w:jc w:val="both"/>
              <w:rPr>
                <w:rFonts w:cstheme="minorHAnsi"/>
                <w:sz w:val="20"/>
                <w:szCs w:val="20"/>
              </w:rPr>
            </w:pPr>
            <w:r>
              <w:rPr>
                <w:rFonts w:cstheme="minorHAnsi"/>
                <w:sz w:val="20"/>
                <w:szCs w:val="20"/>
              </w:rPr>
              <w:t>Stakeholder 2</w:t>
            </w:r>
          </w:p>
          <w:p w14:paraId="175D67E0" w14:textId="77777777" w:rsidR="00C644DF" w:rsidRPr="00E16344" w:rsidRDefault="00C644DF" w:rsidP="00A4324F">
            <w:pPr>
              <w:pStyle w:val="ListParagraph"/>
              <w:numPr>
                <w:ilvl w:val="0"/>
                <w:numId w:val="5"/>
              </w:numPr>
              <w:spacing w:line="240" w:lineRule="auto"/>
              <w:jc w:val="both"/>
              <w:rPr>
                <w:rFonts w:eastAsia="Times New Roman" w:cstheme="minorHAnsi"/>
                <w:sz w:val="20"/>
                <w:szCs w:val="20"/>
                <w:lang w:val="en-GB" w:eastAsia="en-GB"/>
              </w:rPr>
            </w:pPr>
            <w:r w:rsidRPr="00E16344">
              <w:rPr>
                <w:rFonts w:eastAsia="Times New Roman" w:cstheme="minorHAnsi"/>
                <w:sz w:val="20"/>
                <w:szCs w:val="20"/>
                <w:lang w:val="en-GB" w:eastAsia="en-GB"/>
              </w:rPr>
              <w:t xml:space="preserve">Don’t really see a need for 6.3.2. (b) </w:t>
            </w:r>
            <w:proofErr w:type="spellStart"/>
            <w:r w:rsidRPr="00E16344">
              <w:rPr>
                <w:rFonts w:eastAsia="Times New Roman" w:cstheme="minorHAnsi"/>
                <w:sz w:val="20"/>
                <w:szCs w:val="20"/>
                <w:lang w:val="en-GB" w:eastAsia="en-GB"/>
              </w:rPr>
              <w:t>i</w:t>
            </w:r>
            <w:proofErr w:type="spellEnd"/>
          </w:p>
          <w:p w14:paraId="7566C3B4" w14:textId="77777777" w:rsidR="00C644DF" w:rsidRPr="00E16344" w:rsidRDefault="00C644DF" w:rsidP="00A4324F">
            <w:pPr>
              <w:pStyle w:val="ListParagraph"/>
              <w:numPr>
                <w:ilvl w:val="0"/>
                <w:numId w:val="5"/>
              </w:numPr>
              <w:spacing w:line="240" w:lineRule="auto"/>
              <w:jc w:val="both"/>
              <w:rPr>
                <w:rFonts w:eastAsia="Times New Roman" w:cstheme="minorHAnsi"/>
                <w:sz w:val="20"/>
                <w:szCs w:val="20"/>
                <w:lang w:val="en-GB" w:eastAsia="en-GB"/>
              </w:rPr>
            </w:pPr>
            <w:r w:rsidRPr="00E16344">
              <w:rPr>
                <w:rFonts w:eastAsia="Times New Roman" w:cstheme="minorHAnsi"/>
                <w:sz w:val="20"/>
                <w:szCs w:val="20"/>
                <w:lang w:val="en-GB" w:eastAsia="en-GB"/>
              </w:rPr>
              <w:t xml:space="preserve">Before the “lesser rule” (6.4.3 (e) ii ) is applied, it would be preferred that the official matching procedure would include notifying the mismatching trade quantities to BRPs so that they would have time to correct them before the rule is applied. - </w:t>
            </w:r>
          </w:p>
        </w:tc>
        <w:tc>
          <w:tcPr>
            <w:tcW w:w="5069" w:type="dxa"/>
          </w:tcPr>
          <w:p w14:paraId="026ECD9A" w14:textId="77777777" w:rsidR="00C644DF" w:rsidRDefault="004F13BA" w:rsidP="00A4324F">
            <w:pPr>
              <w:jc w:val="both"/>
              <w:rPr>
                <w:rFonts w:cstheme="minorHAnsi"/>
                <w:sz w:val="20"/>
                <w:szCs w:val="20"/>
              </w:rPr>
            </w:pPr>
            <w:r>
              <w:rPr>
                <w:rFonts w:cstheme="minorHAnsi"/>
                <w:sz w:val="20"/>
                <w:szCs w:val="20"/>
              </w:rPr>
              <w:t>1. Earliest date for submitting trade notifications is set, as TSOs do not accept the notifications before this deadline.</w:t>
            </w:r>
            <w:r w:rsidR="003A37B6">
              <w:rPr>
                <w:rFonts w:cstheme="minorHAnsi"/>
                <w:sz w:val="20"/>
                <w:szCs w:val="20"/>
              </w:rPr>
              <w:t xml:space="preserve"> </w:t>
            </w:r>
          </w:p>
          <w:p w14:paraId="6FD22E23" w14:textId="77777777" w:rsidR="004F13BA" w:rsidRPr="004F13BA" w:rsidRDefault="00652DEC" w:rsidP="00A4324F">
            <w:pPr>
              <w:jc w:val="both"/>
              <w:rPr>
                <w:rFonts w:cstheme="minorHAnsi"/>
                <w:sz w:val="20"/>
                <w:szCs w:val="20"/>
              </w:rPr>
            </w:pPr>
            <w:r>
              <w:rPr>
                <w:rFonts w:cstheme="minorHAnsi"/>
                <w:sz w:val="20"/>
                <w:szCs w:val="20"/>
              </w:rPr>
              <w:t xml:space="preserve">2. </w:t>
            </w:r>
            <w:r w:rsidR="003A37B6">
              <w:rPr>
                <w:rFonts w:cstheme="minorHAnsi"/>
                <w:sz w:val="20"/>
                <w:szCs w:val="20"/>
              </w:rPr>
              <w:t>Standard process does not foresee provision of notifications. However clause: 6.3.6 will clarify that if there was mismatch the notifica</w:t>
            </w:r>
            <w:r>
              <w:rPr>
                <w:rFonts w:cstheme="minorHAnsi"/>
                <w:sz w:val="20"/>
                <w:szCs w:val="20"/>
              </w:rPr>
              <w:t>ti</w:t>
            </w:r>
            <w:r w:rsidR="003A37B6">
              <w:rPr>
                <w:rFonts w:cstheme="minorHAnsi"/>
                <w:sz w:val="20"/>
                <w:szCs w:val="20"/>
              </w:rPr>
              <w:t xml:space="preserve">on will be sent after the matching.The value that was changed due to lesser rule will </w:t>
            </w:r>
            <w:r w:rsidR="003A37B6">
              <w:rPr>
                <w:rFonts w:cstheme="minorHAnsi"/>
                <w:sz w:val="20"/>
                <w:szCs w:val="20"/>
              </w:rPr>
              <w:lastRenderedPageBreak/>
              <w:t>be taken into next mat</w:t>
            </w:r>
            <w:r w:rsidR="001F21F0">
              <w:rPr>
                <w:rFonts w:cstheme="minorHAnsi"/>
                <w:sz w:val="20"/>
                <w:szCs w:val="20"/>
              </w:rPr>
              <w:t>c</w:t>
            </w:r>
            <w:r w:rsidR="003A37B6">
              <w:rPr>
                <w:rFonts w:cstheme="minorHAnsi"/>
                <w:sz w:val="20"/>
                <w:szCs w:val="20"/>
              </w:rPr>
              <w:t>ing as initial value. Th</w:t>
            </w:r>
            <w:r w:rsidR="005A022E">
              <w:rPr>
                <w:rFonts w:cstheme="minorHAnsi"/>
                <w:sz w:val="20"/>
                <w:szCs w:val="20"/>
              </w:rPr>
              <w:t>at means</w:t>
            </w:r>
            <w:r w:rsidR="003A37B6">
              <w:rPr>
                <w:rFonts w:cstheme="minorHAnsi"/>
                <w:sz w:val="20"/>
                <w:szCs w:val="20"/>
              </w:rPr>
              <w:t xml:space="preserve"> that </w:t>
            </w:r>
            <w:r w:rsidR="005A022E">
              <w:rPr>
                <w:rFonts w:cstheme="minorHAnsi"/>
                <w:sz w:val="20"/>
                <w:szCs w:val="20"/>
              </w:rPr>
              <w:t>ther</w:t>
            </w:r>
            <w:r w:rsidR="001F21F0">
              <w:rPr>
                <w:rFonts w:cstheme="minorHAnsi"/>
                <w:sz w:val="20"/>
                <w:szCs w:val="20"/>
              </w:rPr>
              <w:t>e</w:t>
            </w:r>
            <w:r w:rsidR="005A022E">
              <w:rPr>
                <w:rFonts w:cstheme="minorHAnsi"/>
                <w:sz w:val="20"/>
                <w:szCs w:val="20"/>
              </w:rPr>
              <w:t xml:space="preserve"> is no need for both parties to renominate the values. </w:t>
            </w:r>
            <w:r>
              <w:rPr>
                <w:rFonts w:cstheme="minorHAnsi"/>
                <w:sz w:val="20"/>
                <w:szCs w:val="20"/>
              </w:rPr>
              <w:t>Also matching process is initiated every half an hour, therefore feedback is received every half an hour.</w:t>
            </w:r>
          </w:p>
        </w:tc>
      </w:tr>
      <w:tr w:rsidR="0043174E" w:rsidRPr="00E16344" w14:paraId="248414CA" w14:textId="77777777" w:rsidTr="00C644DF">
        <w:trPr>
          <w:trHeight w:val="938"/>
        </w:trPr>
        <w:tc>
          <w:tcPr>
            <w:tcW w:w="8926" w:type="dxa"/>
          </w:tcPr>
          <w:p w14:paraId="6CF0076D" w14:textId="7A10425B" w:rsidR="0043174E" w:rsidRPr="00E16344" w:rsidRDefault="000F67E6" w:rsidP="00A4324F">
            <w:pPr>
              <w:jc w:val="both"/>
              <w:rPr>
                <w:rFonts w:cstheme="minorHAnsi"/>
                <w:sz w:val="20"/>
                <w:szCs w:val="20"/>
              </w:rPr>
            </w:pPr>
            <w:r>
              <w:rPr>
                <w:rFonts w:cstheme="minorHAnsi"/>
                <w:sz w:val="20"/>
                <w:szCs w:val="20"/>
              </w:rPr>
              <w:lastRenderedPageBreak/>
              <w:t>Stakeholder 5</w:t>
            </w:r>
          </w:p>
          <w:p w14:paraId="4F59C47A" w14:textId="77777777" w:rsidR="00196B37" w:rsidRPr="00E16344" w:rsidRDefault="00196B37" w:rsidP="00A4324F">
            <w:pPr>
              <w:pStyle w:val="ListParagraph"/>
              <w:numPr>
                <w:ilvl w:val="0"/>
                <w:numId w:val="19"/>
              </w:numPr>
              <w:suppressAutoHyphens/>
              <w:spacing w:line="240" w:lineRule="auto"/>
              <w:jc w:val="both"/>
              <w:rPr>
                <w:rFonts w:cstheme="minorHAnsi"/>
                <w:sz w:val="20"/>
                <w:szCs w:val="20"/>
                <w:lang w:val="en-US" w:eastAsia="lt-LT"/>
              </w:rPr>
            </w:pPr>
            <w:r w:rsidRPr="00E16344">
              <w:rPr>
                <w:rFonts w:cstheme="minorHAnsi"/>
                <w:sz w:val="20"/>
                <w:szCs w:val="20"/>
                <w:lang w:val="en-US" w:eastAsia="lt-LT"/>
              </w:rPr>
              <w:t xml:space="preserve">6.1.4. </w:t>
            </w:r>
            <w:r w:rsidRPr="004F13BA">
              <w:rPr>
                <w:rFonts w:cstheme="minorHAnsi"/>
                <w:i/>
                <w:sz w:val="20"/>
                <w:szCs w:val="20"/>
                <w:lang w:val="en-US" w:eastAsia="lt-LT"/>
              </w:rPr>
              <w:t>For the purposes of this section 6, the term ‘network user’ shall be understood to include also the TSO(s) and trading platform(s) in the common balancing zone, insofar as required to enable the exchange of gas between the different parties</w:t>
            </w:r>
            <w:r w:rsidRPr="00E16344">
              <w:rPr>
                <w:rFonts w:cstheme="minorHAnsi"/>
                <w:sz w:val="20"/>
                <w:szCs w:val="20"/>
                <w:lang w:val="en-US" w:eastAsia="lt-LT"/>
              </w:rPr>
              <w:t xml:space="preserve"> - It is excess provision which do not add additional value to the document, since the network user definition provided by the Gas Regulation Art 2 (11). Also, trading platform cannot be considered as a network user. That would contradict network user definition. Please adjust section 6 wording by using correct definitions.</w:t>
            </w:r>
          </w:p>
          <w:p w14:paraId="41D35B1B" w14:textId="77777777" w:rsidR="00196B37" w:rsidRPr="00E16344" w:rsidRDefault="00196B37" w:rsidP="00A4324F">
            <w:pPr>
              <w:pStyle w:val="ListParagraph"/>
              <w:numPr>
                <w:ilvl w:val="0"/>
                <w:numId w:val="19"/>
              </w:numPr>
              <w:suppressAutoHyphens/>
              <w:spacing w:line="240" w:lineRule="auto"/>
              <w:jc w:val="both"/>
              <w:rPr>
                <w:rFonts w:cstheme="minorHAnsi"/>
                <w:sz w:val="20"/>
                <w:szCs w:val="20"/>
                <w:lang w:val="en-US" w:eastAsia="lt-LT"/>
              </w:rPr>
            </w:pPr>
            <w:r w:rsidRPr="00E16344">
              <w:rPr>
                <w:rFonts w:cstheme="minorHAnsi"/>
                <w:sz w:val="20"/>
                <w:szCs w:val="20"/>
                <w:lang w:val="en-US" w:eastAsia="lt-LT"/>
              </w:rPr>
              <w:t>6.3.3. Trade notifications for within-day trading may be submitted to the TSO:</w:t>
            </w:r>
          </w:p>
          <w:p w14:paraId="645AEC07" w14:textId="77777777" w:rsidR="00196B37" w:rsidRPr="00E16344" w:rsidRDefault="00196B37" w:rsidP="00A4324F">
            <w:pPr>
              <w:ind w:left="394"/>
              <w:jc w:val="both"/>
              <w:rPr>
                <w:rFonts w:cstheme="minorHAnsi"/>
                <w:sz w:val="20"/>
                <w:szCs w:val="20"/>
              </w:rPr>
            </w:pPr>
            <w:r w:rsidRPr="004F13BA">
              <w:rPr>
                <w:rFonts w:cstheme="minorHAnsi"/>
                <w:i/>
                <w:sz w:val="20"/>
                <w:szCs w:val="20"/>
                <w:lang w:val="en-US" w:eastAsia="lt-LT"/>
              </w:rPr>
              <w:t>(a) No earlier than two (2) hours after the deadline specified in 6.3.2(b)ii</w:t>
            </w:r>
            <w:r w:rsidRPr="00E16344">
              <w:rPr>
                <w:rFonts w:cstheme="minorHAnsi"/>
                <w:sz w:val="20"/>
                <w:szCs w:val="20"/>
                <w:lang w:val="en-US" w:eastAsia="lt-LT"/>
              </w:rPr>
              <w:t xml:space="preserve"> - Within-day trading starts during gas day D at 5:00 AM (UTC). Deadline cannot be considered as D-1 17:00. Within-day product by definition is a product traded on the same day.</w:t>
            </w:r>
          </w:p>
        </w:tc>
        <w:tc>
          <w:tcPr>
            <w:tcW w:w="5069" w:type="dxa"/>
          </w:tcPr>
          <w:p w14:paraId="0F1DC4DA" w14:textId="7D65C884" w:rsidR="0043174E" w:rsidRPr="00652DEC" w:rsidRDefault="00317C84" w:rsidP="00A4324F">
            <w:pPr>
              <w:jc w:val="both"/>
              <w:rPr>
                <w:rFonts w:cstheme="minorHAnsi"/>
                <w:sz w:val="20"/>
                <w:szCs w:val="20"/>
              </w:rPr>
            </w:pPr>
            <w:r w:rsidRPr="00652DEC">
              <w:rPr>
                <w:rFonts w:cstheme="minorHAnsi"/>
                <w:sz w:val="20"/>
                <w:szCs w:val="20"/>
              </w:rPr>
              <w:t xml:space="preserve">1. </w:t>
            </w:r>
            <w:r w:rsidR="00F25258">
              <w:rPr>
                <w:rFonts w:cstheme="minorHAnsi"/>
                <w:sz w:val="20"/>
                <w:szCs w:val="20"/>
              </w:rPr>
              <w:t xml:space="preserve">Will be taken into account. </w:t>
            </w:r>
            <w:r w:rsidR="006F6E68">
              <w:rPr>
                <w:rFonts w:cstheme="minorHAnsi"/>
                <w:sz w:val="20"/>
                <w:szCs w:val="20"/>
              </w:rPr>
              <w:t>TSO and trading platform</w:t>
            </w:r>
            <w:r w:rsidR="005A022E" w:rsidRPr="00652DEC">
              <w:rPr>
                <w:rFonts w:cstheme="minorHAnsi"/>
                <w:sz w:val="20"/>
                <w:szCs w:val="20"/>
              </w:rPr>
              <w:t xml:space="preserve"> act in the role of Network use</w:t>
            </w:r>
            <w:r w:rsidR="00652DEC" w:rsidRPr="00652DEC">
              <w:rPr>
                <w:rFonts w:cstheme="minorHAnsi"/>
                <w:sz w:val="20"/>
                <w:szCs w:val="20"/>
              </w:rPr>
              <w:t>r</w:t>
            </w:r>
            <w:r w:rsidR="005A022E" w:rsidRPr="00652DEC">
              <w:rPr>
                <w:rFonts w:cstheme="minorHAnsi"/>
                <w:sz w:val="20"/>
                <w:szCs w:val="20"/>
              </w:rPr>
              <w:t xml:space="preserve">s </w:t>
            </w:r>
          </w:p>
          <w:p w14:paraId="04159FCA" w14:textId="77777777" w:rsidR="00317C84" w:rsidRPr="006F6E68" w:rsidRDefault="00317C84" w:rsidP="00A4324F">
            <w:pPr>
              <w:jc w:val="both"/>
              <w:rPr>
                <w:color w:val="000000" w:themeColor="text1"/>
                <w:sz w:val="20"/>
                <w:szCs w:val="20"/>
              </w:rPr>
            </w:pPr>
            <w:r w:rsidRPr="00652DEC">
              <w:rPr>
                <w:sz w:val="20"/>
                <w:szCs w:val="20"/>
              </w:rPr>
              <w:t>2.</w:t>
            </w:r>
            <w:r w:rsidR="001F21F0">
              <w:rPr>
                <w:sz w:val="20"/>
                <w:szCs w:val="20"/>
              </w:rPr>
              <w:t xml:space="preserve"> All with</w:t>
            </w:r>
            <w:r w:rsidR="00A74603" w:rsidRPr="00652DEC">
              <w:rPr>
                <w:sz w:val="20"/>
                <w:szCs w:val="20"/>
              </w:rPr>
              <w:t xml:space="preserve">in day products are available for trading in the renomination </w:t>
            </w:r>
            <w:r w:rsidR="006976A4" w:rsidRPr="006F6E68">
              <w:rPr>
                <w:color w:val="000000" w:themeColor="text1"/>
                <w:sz w:val="20"/>
                <w:szCs w:val="20"/>
              </w:rPr>
              <w:t>periods right after the day ahead nominations are confirmed.</w:t>
            </w:r>
          </w:p>
          <w:p w14:paraId="4C9FAB86" w14:textId="77777777" w:rsidR="006976A4" w:rsidRPr="00E16344" w:rsidRDefault="006976A4" w:rsidP="00A4324F">
            <w:pPr>
              <w:jc w:val="both"/>
            </w:pPr>
            <w:r w:rsidRPr="006F6E68">
              <w:rPr>
                <w:color w:val="000000" w:themeColor="text1"/>
                <w:sz w:val="20"/>
                <w:szCs w:val="20"/>
              </w:rPr>
              <w:t xml:space="preserve">CAM NC: </w:t>
            </w:r>
            <w:r w:rsidRPr="006F6E68">
              <w:rPr>
                <w:color w:val="000000" w:themeColor="text1"/>
                <w:sz w:val="20"/>
                <w:szCs w:val="20"/>
                <w:shd w:val="clear" w:color="auto" w:fill="FFFFFF"/>
              </w:rPr>
              <w:t>‘within-day capacity’ means capacity offered and allocated after the closure of the day-ahead capacity auctions with respect to that day</w:t>
            </w:r>
          </w:p>
        </w:tc>
      </w:tr>
      <w:tr w:rsidR="00C644DF" w:rsidRPr="00E16344" w14:paraId="218943AA" w14:textId="77777777" w:rsidTr="00C644DF">
        <w:trPr>
          <w:trHeight w:val="937"/>
        </w:trPr>
        <w:tc>
          <w:tcPr>
            <w:tcW w:w="8926" w:type="dxa"/>
          </w:tcPr>
          <w:p w14:paraId="7A1E4C71" w14:textId="7CC9D0E1" w:rsidR="00C644DF" w:rsidRPr="00D10B00" w:rsidRDefault="000F67E6" w:rsidP="00A4324F">
            <w:pPr>
              <w:tabs>
                <w:tab w:val="left" w:pos="851"/>
              </w:tabs>
              <w:suppressAutoHyphens/>
              <w:jc w:val="both"/>
              <w:textAlignment w:val="baseline"/>
              <w:rPr>
                <w:rFonts w:cstheme="minorHAnsi"/>
                <w:sz w:val="20"/>
                <w:szCs w:val="20"/>
                <w:lang w:val="en-US" w:eastAsia="lt-LT"/>
              </w:rPr>
            </w:pPr>
            <w:r>
              <w:rPr>
                <w:rFonts w:cstheme="minorHAnsi"/>
                <w:sz w:val="20"/>
                <w:szCs w:val="20"/>
                <w:lang w:val="en-US" w:eastAsia="lt-LT"/>
              </w:rPr>
              <w:t>Stakeholder 6</w:t>
            </w:r>
            <w:r w:rsidR="001F2632" w:rsidRPr="00D10B00">
              <w:rPr>
                <w:rFonts w:cstheme="minorHAnsi"/>
                <w:sz w:val="20"/>
                <w:szCs w:val="20"/>
                <w:lang w:val="en-US" w:eastAsia="lt-LT"/>
              </w:rPr>
              <w:t xml:space="preserve"> </w:t>
            </w:r>
          </w:p>
          <w:p w14:paraId="77677AB1" w14:textId="77777777" w:rsidR="001F2632" w:rsidRPr="00E16344" w:rsidRDefault="001F2632" w:rsidP="00A4324F">
            <w:pPr>
              <w:tabs>
                <w:tab w:val="left" w:pos="851"/>
              </w:tabs>
              <w:suppressAutoHyphens/>
              <w:jc w:val="both"/>
              <w:textAlignment w:val="baseline"/>
              <w:rPr>
                <w:rFonts w:cstheme="minorHAnsi"/>
                <w:sz w:val="20"/>
                <w:szCs w:val="20"/>
                <w:highlight w:val="yellow"/>
                <w:lang w:val="en-US" w:eastAsia="lt-LT"/>
              </w:rPr>
            </w:pPr>
            <w:r w:rsidRPr="00D10B00">
              <w:rPr>
                <w:rFonts w:cstheme="minorHAnsi"/>
                <w:sz w:val="20"/>
                <w:szCs w:val="20"/>
                <w:lang w:val="en-US" w:eastAsia="lt-LT"/>
              </w:rPr>
              <w:t xml:space="preserve">Due to common rules in EE, LV and FIN, the current plan is to </w:t>
            </w:r>
            <w:proofErr w:type="spellStart"/>
            <w:r w:rsidRPr="00D10B00">
              <w:rPr>
                <w:rFonts w:cstheme="minorHAnsi"/>
                <w:sz w:val="20"/>
                <w:szCs w:val="20"/>
                <w:lang w:val="en-US" w:eastAsia="lt-LT"/>
              </w:rPr>
              <w:t>loose</w:t>
            </w:r>
            <w:proofErr w:type="spellEnd"/>
            <w:r w:rsidRPr="00D10B00">
              <w:rPr>
                <w:rFonts w:cstheme="minorHAnsi"/>
                <w:sz w:val="20"/>
                <w:szCs w:val="20"/>
                <w:lang w:val="en-US" w:eastAsia="lt-LT"/>
              </w:rPr>
              <w:t xml:space="preserve"> the D+1 (previous day) product, that currently is p</w:t>
            </w:r>
            <w:r w:rsidR="004F13BA" w:rsidRPr="00D10B00">
              <w:rPr>
                <w:rFonts w:cstheme="minorHAnsi"/>
                <w:sz w:val="20"/>
                <w:szCs w:val="20"/>
                <w:lang w:val="en-US" w:eastAsia="lt-LT"/>
              </w:rPr>
              <w:t>o</w:t>
            </w:r>
            <w:r w:rsidRPr="00D10B00">
              <w:rPr>
                <w:rFonts w:cstheme="minorHAnsi"/>
                <w:sz w:val="20"/>
                <w:szCs w:val="20"/>
                <w:lang w:val="en-US" w:eastAsia="lt-LT"/>
              </w:rPr>
              <w:t>ssible in Estonian VTP. Our proposal to the TSOs is, that previous day product would still be available in the common zone, as it is right now in Estonian VTP</w:t>
            </w:r>
          </w:p>
        </w:tc>
        <w:tc>
          <w:tcPr>
            <w:tcW w:w="5069" w:type="dxa"/>
          </w:tcPr>
          <w:p w14:paraId="57DACB04" w14:textId="77777777" w:rsidR="00C644DF" w:rsidRDefault="004F13BA" w:rsidP="00A4324F">
            <w:pPr>
              <w:jc w:val="both"/>
              <w:rPr>
                <w:rFonts w:cstheme="minorHAnsi"/>
                <w:sz w:val="20"/>
                <w:szCs w:val="20"/>
              </w:rPr>
            </w:pPr>
            <w:r>
              <w:rPr>
                <w:rFonts w:cstheme="minorHAnsi"/>
                <w:sz w:val="20"/>
                <w:szCs w:val="20"/>
              </w:rPr>
              <w:t xml:space="preserve">Previous day product is not foreseen in the common </w:t>
            </w:r>
            <w:r w:rsidR="00A4324F">
              <w:rPr>
                <w:rFonts w:cstheme="minorHAnsi"/>
                <w:sz w:val="20"/>
                <w:szCs w:val="20"/>
              </w:rPr>
              <w:t>zone.</w:t>
            </w:r>
          </w:p>
          <w:p w14:paraId="7FAB35E3" w14:textId="77777777" w:rsidR="00377AA6" w:rsidRDefault="00377AA6" w:rsidP="00A4324F">
            <w:pPr>
              <w:jc w:val="both"/>
              <w:rPr>
                <w:rFonts w:cstheme="minorHAnsi"/>
                <w:sz w:val="20"/>
                <w:szCs w:val="20"/>
              </w:rPr>
            </w:pPr>
          </w:p>
          <w:p w14:paraId="663F32B5" w14:textId="77777777" w:rsidR="00CA69B0" w:rsidRPr="00E16344" w:rsidRDefault="00CA69B0" w:rsidP="00A4324F">
            <w:pPr>
              <w:jc w:val="both"/>
              <w:rPr>
                <w:rFonts w:cstheme="minorHAnsi"/>
                <w:sz w:val="20"/>
                <w:szCs w:val="20"/>
              </w:rPr>
            </w:pPr>
          </w:p>
        </w:tc>
      </w:tr>
      <w:tr w:rsidR="006766D3" w:rsidRPr="00E16344" w14:paraId="4DE9C06C" w14:textId="77777777" w:rsidTr="006766D3">
        <w:tc>
          <w:tcPr>
            <w:tcW w:w="13995" w:type="dxa"/>
            <w:gridSpan w:val="2"/>
            <w:shd w:val="clear" w:color="auto" w:fill="E7E6E6" w:themeFill="background2"/>
            <w:vAlign w:val="center"/>
          </w:tcPr>
          <w:p w14:paraId="29F5988A" w14:textId="77777777" w:rsidR="006766D3" w:rsidRPr="00E16344" w:rsidRDefault="00C83420" w:rsidP="00A4324F">
            <w:pPr>
              <w:pStyle w:val="Heading2"/>
              <w:jc w:val="both"/>
              <w:outlineLvl w:val="1"/>
            </w:pPr>
            <w:r>
              <w:t>Balance Status of the Net</w:t>
            </w:r>
            <w:r w:rsidR="006766D3" w:rsidRPr="00E16344">
              <w:t>w</w:t>
            </w:r>
            <w:r>
              <w:t>o</w:t>
            </w:r>
            <w:r w:rsidR="006766D3" w:rsidRPr="00E16344">
              <w:t>rk User</w:t>
            </w:r>
          </w:p>
        </w:tc>
      </w:tr>
      <w:tr w:rsidR="00C644DF" w:rsidRPr="00E16344" w14:paraId="2AA999C2" w14:textId="77777777" w:rsidTr="00C644DF">
        <w:tc>
          <w:tcPr>
            <w:tcW w:w="8926" w:type="dxa"/>
          </w:tcPr>
          <w:p w14:paraId="1B87C45B" w14:textId="7DAFE66E" w:rsidR="00990A7A" w:rsidRPr="00E16344" w:rsidRDefault="000F67E6" w:rsidP="00A4324F">
            <w:pPr>
              <w:tabs>
                <w:tab w:val="left" w:pos="851"/>
              </w:tabs>
              <w:suppressAutoHyphens/>
              <w:ind w:left="34"/>
              <w:jc w:val="both"/>
              <w:textAlignment w:val="baseline"/>
              <w:rPr>
                <w:rFonts w:cstheme="minorHAnsi"/>
                <w:sz w:val="20"/>
                <w:szCs w:val="20"/>
                <w:lang w:val="en-US" w:eastAsia="lt-LT"/>
              </w:rPr>
            </w:pPr>
            <w:r>
              <w:rPr>
                <w:rFonts w:cstheme="minorHAnsi"/>
                <w:sz w:val="20"/>
                <w:szCs w:val="20"/>
                <w:lang w:val="en-US" w:eastAsia="lt-LT"/>
              </w:rPr>
              <w:t>Stakeholder 5</w:t>
            </w:r>
          </w:p>
          <w:p w14:paraId="428497B9" w14:textId="77777777" w:rsidR="00196B37" w:rsidRPr="00E16344" w:rsidRDefault="00196B37" w:rsidP="00A4324F">
            <w:pPr>
              <w:pStyle w:val="ListParagraph"/>
              <w:numPr>
                <w:ilvl w:val="0"/>
                <w:numId w:val="20"/>
              </w:numPr>
              <w:tabs>
                <w:tab w:val="left" w:pos="851"/>
              </w:tabs>
              <w:suppressAutoHyphens/>
              <w:spacing w:line="240" w:lineRule="auto"/>
              <w:jc w:val="both"/>
              <w:textAlignment w:val="baseline"/>
              <w:rPr>
                <w:rFonts w:cstheme="minorHAnsi"/>
                <w:sz w:val="20"/>
                <w:szCs w:val="20"/>
                <w:lang w:val="en-US" w:eastAsia="lt-LT"/>
              </w:rPr>
            </w:pPr>
            <w:r w:rsidRPr="004F13BA">
              <w:rPr>
                <w:rFonts w:cstheme="minorHAnsi"/>
                <w:i/>
                <w:sz w:val="20"/>
                <w:szCs w:val="20"/>
                <w:lang w:val="en-US" w:eastAsia="lt-LT"/>
              </w:rPr>
              <w:t xml:space="preserve">7.2. </w:t>
            </w:r>
            <w:r w:rsidRPr="004F13BA">
              <w:rPr>
                <w:rFonts w:cstheme="minorHAnsi"/>
                <w:b/>
                <w:i/>
                <w:sz w:val="20"/>
                <w:szCs w:val="20"/>
                <w:lang w:val="en-US" w:eastAsia="lt-LT"/>
              </w:rPr>
              <w:t>The forecasting party of each country</w:t>
            </w:r>
            <w:r w:rsidRPr="004F13BA">
              <w:rPr>
                <w:rFonts w:cstheme="minorHAnsi"/>
                <w:i/>
                <w:sz w:val="20"/>
                <w:szCs w:val="20"/>
                <w:lang w:val="en-US" w:eastAsia="lt-LT"/>
              </w:rPr>
              <w:t xml:space="preserve"> in the common balancing zone shall be responsible for providing the TSO of the national transmission system with load forecasts of all </w:t>
            </w:r>
            <w:proofErr w:type="spellStart"/>
            <w:r w:rsidRPr="004F13BA">
              <w:rPr>
                <w:rFonts w:cstheme="minorHAnsi"/>
                <w:i/>
                <w:sz w:val="20"/>
                <w:szCs w:val="20"/>
                <w:lang w:val="en-US" w:eastAsia="lt-LT"/>
              </w:rPr>
              <w:t>non daily</w:t>
            </w:r>
            <w:proofErr w:type="spellEnd"/>
            <w:r w:rsidRPr="004F13BA">
              <w:rPr>
                <w:rFonts w:cstheme="minorHAnsi"/>
                <w:i/>
                <w:sz w:val="20"/>
                <w:szCs w:val="20"/>
                <w:lang w:val="en-US" w:eastAsia="lt-LT"/>
              </w:rPr>
              <w:t xml:space="preserve"> metered customers in that country. The information model for </w:t>
            </w:r>
            <w:proofErr w:type="spellStart"/>
            <w:r w:rsidRPr="004F13BA">
              <w:rPr>
                <w:rFonts w:cstheme="minorHAnsi"/>
                <w:i/>
                <w:sz w:val="20"/>
                <w:szCs w:val="20"/>
                <w:lang w:val="en-US" w:eastAsia="lt-LT"/>
              </w:rPr>
              <w:t>non daily</w:t>
            </w:r>
            <w:proofErr w:type="spellEnd"/>
            <w:r w:rsidRPr="004F13BA">
              <w:rPr>
                <w:rFonts w:cstheme="minorHAnsi"/>
                <w:i/>
                <w:sz w:val="20"/>
                <w:szCs w:val="20"/>
                <w:lang w:val="en-US" w:eastAsia="lt-LT"/>
              </w:rPr>
              <w:t xml:space="preserve"> metered data allocation shall be the base case model</w:t>
            </w:r>
            <w:r w:rsidRPr="00E16344">
              <w:rPr>
                <w:rFonts w:cstheme="minorHAnsi"/>
                <w:sz w:val="20"/>
                <w:szCs w:val="20"/>
                <w:lang w:val="en-US" w:eastAsia="lt-LT"/>
              </w:rPr>
              <w:t xml:space="preserve"> –  Not daily metered (NDM) data is provided by the forecasting party (legal entity) which is depicted by the NRA in each Member State. In Lithuania –DSO –</w:t>
            </w:r>
            <w:proofErr w:type="spellStart"/>
            <w:r w:rsidRPr="00E16344">
              <w:rPr>
                <w:rFonts w:cstheme="minorHAnsi"/>
                <w:sz w:val="20"/>
                <w:szCs w:val="20"/>
                <w:lang w:val="en-US" w:eastAsia="lt-LT"/>
              </w:rPr>
              <w:t>Energijos</w:t>
            </w:r>
            <w:proofErr w:type="spellEnd"/>
            <w:r w:rsidRPr="00E16344">
              <w:rPr>
                <w:rFonts w:cstheme="minorHAnsi"/>
                <w:sz w:val="20"/>
                <w:szCs w:val="20"/>
                <w:lang w:val="en-US" w:eastAsia="lt-LT"/>
              </w:rPr>
              <w:t xml:space="preserve"> </w:t>
            </w:r>
            <w:proofErr w:type="spellStart"/>
            <w:r w:rsidRPr="00E16344">
              <w:rPr>
                <w:rFonts w:cstheme="minorHAnsi"/>
                <w:sz w:val="20"/>
                <w:szCs w:val="20"/>
                <w:lang w:val="en-US" w:eastAsia="lt-LT"/>
              </w:rPr>
              <w:t>skirstymo</w:t>
            </w:r>
            <w:proofErr w:type="spellEnd"/>
            <w:r w:rsidRPr="00E16344">
              <w:rPr>
                <w:rFonts w:cstheme="minorHAnsi"/>
                <w:sz w:val="20"/>
                <w:szCs w:val="20"/>
                <w:lang w:val="en-US" w:eastAsia="lt-LT"/>
              </w:rPr>
              <w:t xml:space="preserve"> </w:t>
            </w:r>
            <w:proofErr w:type="spellStart"/>
            <w:r w:rsidRPr="00E16344">
              <w:rPr>
                <w:rFonts w:cstheme="minorHAnsi"/>
                <w:sz w:val="20"/>
                <w:szCs w:val="20"/>
                <w:lang w:val="en-US" w:eastAsia="lt-LT"/>
              </w:rPr>
              <w:t>operatorius</w:t>
            </w:r>
            <w:proofErr w:type="spellEnd"/>
            <w:r w:rsidRPr="00E16344">
              <w:rPr>
                <w:rFonts w:cstheme="minorHAnsi"/>
                <w:sz w:val="20"/>
                <w:szCs w:val="20"/>
                <w:lang w:val="en-US" w:eastAsia="lt-LT"/>
              </w:rPr>
              <w:t xml:space="preserve"> AB is depicted. Other EU states, choose TSOs, DSOs or a third party. LV and EE also should carry out this task, if this requirement is not already implemented.</w:t>
            </w:r>
          </w:p>
          <w:p w14:paraId="73BD64AD" w14:textId="77777777" w:rsidR="00196B37" w:rsidRPr="00E16344" w:rsidRDefault="00196B37" w:rsidP="00A4324F">
            <w:pPr>
              <w:pStyle w:val="ListParagraph"/>
              <w:tabs>
                <w:tab w:val="left" w:pos="851"/>
              </w:tabs>
              <w:suppressAutoHyphens/>
              <w:spacing w:line="240" w:lineRule="auto"/>
              <w:ind w:left="394"/>
              <w:jc w:val="both"/>
              <w:textAlignment w:val="baseline"/>
              <w:rPr>
                <w:rFonts w:cstheme="minorHAnsi"/>
                <w:sz w:val="20"/>
                <w:szCs w:val="20"/>
                <w:lang w:val="en-US" w:eastAsia="lt-LT"/>
              </w:rPr>
            </w:pPr>
            <w:r w:rsidRPr="00E16344">
              <w:rPr>
                <w:rFonts w:cstheme="minorHAnsi"/>
                <w:sz w:val="20"/>
                <w:szCs w:val="20"/>
                <w:lang w:val="en-US" w:eastAsia="lt-LT"/>
              </w:rPr>
              <w:t>BAL NC Art. 39 (5) states that:</w:t>
            </w:r>
          </w:p>
          <w:p w14:paraId="43CC4432" w14:textId="77777777" w:rsidR="00196B37" w:rsidRPr="00E16344" w:rsidRDefault="00196B37" w:rsidP="00A4324F">
            <w:pPr>
              <w:pStyle w:val="ListParagraph"/>
              <w:tabs>
                <w:tab w:val="left" w:pos="851"/>
              </w:tabs>
              <w:suppressAutoHyphens/>
              <w:spacing w:line="240" w:lineRule="auto"/>
              <w:ind w:left="394"/>
              <w:jc w:val="both"/>
              <w:textAlignment w:val="baseline"/>
              <w:rPr>
                <w:rFonts w:cstheme="minorHAnsi"/>
                <w:i/>
                <w:sz w:val="20"/>
                <w:szCs w:val="20"/>
                <w:lang w:val="en-US" w:eastAsia="lt-LT"/>
              </w:rPr>
            </w:pPr>
            <w:r w:rsidRPr="00E16344">
              <w:rPr>
                <w:rFonts w:cstheme="minorHAnsi"/>
                <w:sz w:val="20"/>
                <w:szCs w:val="20"/>
                <w:lang w:val="en-US" w:eastAsia="lt-LT"/>
              </w:rPr>
              <w:t>„</w:t>
            </w:r>
            <w:r w:rsidRPr="00E16344">
              <w:rPr>
                <w:rFonts w:cstheme="minorHAnsi"/>
                <w:i/>
                <w:sz w:val="20"/>
                <w:szCs w:val="20"/>
                <w:lang w:val="en-US" w:eastAsia="lt-LT"/>
              </w:rPr>
              <w:t>5</w:t>
            </w:r>
            <w:proofErr w:type="gramStart"/>
            <w:r w:rsidRPr="00E16344">
              <w:rPr>
                <w:rFonts w:cstheme="minorHAnsi"/>
                <w:i/>
                <w:sz w:val="20"/>
                <w:szCs w:val="20"/>
                <w:lang w:val="en-US" w:eastAsia="lt-LT"/>
              </w:rPr>
              <w:t>.  The</w:t>
            </w:r>
            <w:proofErr w:type="gramEnd"/>
            <w:r w:rsidRPr="00E16344">
              <w:rPr>
                <w:rFonts w:cstheme="minorHAnsi"/>
                <w:i/>
                <w:sz w:val="20"/>
                <w:szCs w:val="20"/>
                <w:lang w:val="en-US" w:eastAsia="lt-LT"/>
              </w:rPr>
              <w:t xml:space="preserve"> national regulatory authority </w:t>
            </w:r>
            <w:r w:rsidRPr="00E16344">
              <w:rPr>
                <w:rFonts w:cstheme="minorHAnsi"/>
                <w:b/>
                <w:i/>
                <w:sz w:val="20"/>
                <w:szCs w:val="20"/>
                <w:lang w:val="en-US" w:eastAsia="lt-LT"/>
              </w:rPr>
              <w:t>shall designate the forecasting party in a balancing zone</w:t>
            </w:r>
            <w:r w:rsidRPr="00E16344">
              <w:rPr>
                <w:rFonts w:cstheme="minorHAnsi"/>
                <w:i/>
                <w:sz w:val="20"/>
                <w:szCs w:val="20"/>
                <w:lang w:val="en-US" w:eastAsia="lt-LT"/>
              </w:rPr>
              <w:t xml:space="preserve"> after prior consultation with the transmission system operators and distribution system operators concerned. The forecasting party shall be responsible for forecasting a network user’s </w:t>
            </w:r>
            <w:proofErr w:type="spellStart"/>
            <w:r w:rsidRPr="00E16344">
              <w:rPr>
                <w:rFonts w:cstheme="minorHAnsi"/>
                <w:i/>
                <w:sz w:val="20"/>
                <w:szCs w:val="20"/>
                <w:lang w:val="en-US" w:eastAsia="lt-LT"/>
              </w:rPr>
              <w:t>non daily</w:t>
            </w:r>
            <w:proofErr w:type="spellEnd"/>
            <w:r w:rsidRPr="00E16344">
              <w:rPr>
                <w:rFonts w:cstheme="minorHAnsi"/>
                <w:i/>
                <w:sz w:val="20"/>
                <w:szCs w:val="20"/>
                <w:lang w:val="en-US" w:eastAsia="lt-LT"/>
              </w:rPr>
              <w:t xml:space="preserve"> metered off-takes and where appropriate its subsequent allocation. It may be a transmission system operator, distribution system operator or a third party</w:t>
            </w:r>
            <w:proofErr w:type="gramStart"/>
            <w:r w:rsidRPr="00E16344">
              <w:rPr>
                <w:rFonts w:cstheme="minorHAnsi"/>
                <w:i/>
                <w:sz w:val="20"/>
                <w:szCs w:val="20"/>
                <w:lang w:val="en-US" w:eastAsia="lt-LT"/>
              </w:rPr>
              <w:t>.“</w:t>
            </w:r>
            <w:proofErr w:type="gramEnd"/>
          </w:p>
          <w:p w14:paraId="0E611C0B" w14:textId="77777777" w:rsidR="00196B37" w:rsidRPr="00E16344" w:rsidRDefault="00196B37" w:rsidP="00A4324F">
            <w:pPr>
              <w:pStyle w:val="ListParagraph"/>
              <w:tabs>
                <w:tab w:val="left" w:pos="851"/>
              </w:tabs>
              <w:suppressAutoHyphens/>
              <w:spacing w:line="240" w:lineRule="auto"/>
              <w:ind w:left="394"/>
              <w:jc w:val="both"/>
              <w:textAlignment w:val="baseline"/>
              <w:rPr>
                <w:rFonts w:cstheme="minorHAnsi"/>
                <w:sz w:val="20"/>
                <w:szCs w:val="20"/>
                <w:lang w:val="en-US" w:eastAsia="lt-LT"/>
              </w:rPr>
            </w:pPr>
            <w:r w:rsidRPr="00E16344">
              <w:rPr>
                <w:rFonts w:cstheme="minorHAnsi"/>
                <w:sz w:val="20"/>
                <w:szCs w:val="20"/>
                <w:lang w:val="en-US" w:eastAsia="lt-LT"/>
              </w:rPr>
              <w:lastRenderedPageBreak/>
              <w:t>Do not be confused with BAL NC Art. 39 (1) wording that there could be several FPs –it is not, because Art. 39 (1) refers to a few Member States, few balancing zones, also this article cannot contradict Art. 39 (5).</w:t>
            </w:r>
          </w:p>
          <w:p w14:paraId="3E7D785C" w14:textId="77777777" w:rsidR="00196B37" w:rsidRPr="00E16344" w:rsidRDefault="00196B37" w:rsidP="00A4324F">
            <w:pPr>
              <w:pStyle w:val="ListParagraph"/>
              <w:tabs>
                <w:tab w:val="left" w:pos="851"/>
              </w:tabs>
              <w:suppressAutoHyphens/>
              <w:spacing w:line="240" w:lineRule="auto"/>
              <w:ind w:left="394"/>
              <w:jc w:val="both"/>
              <w:textAlignment w:val="baseline"/>
              <w:rPr>
                <w:rFonts w:cstheme="minorHAnsi"/>
                <w:b/>
                <w:sz w:val="20"/>
                <w:szCs w:val="20"/>
                <w:lang w:val="en-US" w:eastAsia="lt-LT"/>
              </w:rPr>
            </w:pPr>
            <w:r w:rsidRPr="00E16344">
              <w:rPr>
                <w:rFonts w:cstheme="minorHAnsi"/>
                <w:sz w:val="20"/>
                <w:szCs w:val="20"/>
                <w:lang w:val="en-US" w:eastAsia="lt-LT"/>
              </w:rPr>
              <w:t>“</w:t>
            </w:r>
            <w:r w:rsidRPr="00E16344">
              <w:rPr>
                <w:rFonts w:cstheme="minorHAnsi"/>
                <w:b/>
                <w:sz w:val="20"/>
                <w:szCs w:val="20"/>
                <w:lang w:val="en-US" w:eastAsia="lt-LT"/>
              </w:rPr>
              <w:t>Information obligations of distribution system operator(s) and forecasting party(-</w:t>
            </w:r>
            <w:proofErr w:type="spellStart"/>
            <w:r w:rsidRPr="00E16344">
              <w:rPr>
                <w:rFonts w:cstheme="minorHAnsi"/>
                <w:b/>
                <w:sz w:val="20"/>
                <w:szCs w:val="20"/>
                <w:lang w:val="en-US" w:eastAsia="lt-LT"/>
              </w:rPr>
              <w:t>ies</w:t>
            </w:r>
            <w:proofErr w:type="spellEnd"/>
            <w:r w:rsidRPr="00E16344">
              <w:rPr>
                <w:rFonts w:cstheme="minorHAnsi"/>
                <w:b/>
                <w:sz w:val="20"/>
                <w:szCs w:val="20"/>
                <w:lang w:val="en-US" w:eastAsia="lt-LT"/>
              </w:rPr>
              <w:t>) towards the transmission system operator</w:t>
            </w:r>
          </w:p>
          <w:p w14:paraId="6E7F3B42" w14:textId="77777777" w:rsidR="00196B37" w:rsidRPr="00E16344" w:rsidRDefault="00196B37" w:rsidP="00A4324F">
            <w:pPr>
              <w:pStyle w:val="ListParagraph"/>
              <w:tabs>
                <w:tab w:val="left" w:pos="851"/>
              </w:tabs>
              <w:suppressAutoHyphens/>
              <w:spacing w:line="240" w:lineRule="auto"/>
              <w:ind w:left="394"/>
              <w:jc w:val="both"/>
              <w:textAlignment w:val="baseline"/>
              <w:rPr>
                <w:rFonts w:cstheme="minorHAnsi"/>
                <w:sz w:val="20"/>
                <w:szCs w:val="20"/>
                <w:lang w:val="en-US" w:eastAsia="lt-LT"/>
              </w:rPr>
            </w:pPr>
            <w:r w:rsidRPr="00E16344">
              <w:rPr>
                <w:rFonts w:cstheme="minorHAnsi"/>
                <w:sz w:val="20"/>
                <w:szCs w:val="20"/>
                <w:lang w:val="en-US" w:eastAsia="lt-LT"/>
              </w:rPr>
              <w:t>“</w:t>
            </w:r>
            <w:r w:rsidRPr="00E16344">
              <w:rPr>
                <w:rFonts w:cstheme="minorHAnsi"/>
                <w:i/>
                <w:sz w:val="20"/>
                <w:szCs w:val="20"/>
                <w:lang w:val="en-US" w:eastAsia="lt-LT"/>
              </w:rPr>
              <w:t>1. Each distribution system operator associated to a balancing zone and each forecasting party shall provide the transmission system operator in the respective balancing zone with the information necessary for information provision to the network users under this Regulation. This shall include inputs and off-takes on the distribution system regardless whether that system is a part of the balancing zone or not.</w:t>
            </w:r>
            <w:r w:rsidRPr="00E16344">
              <w:rPr>
                <w:rFonts w:cstheme="minorHAnsi"/>
                <w:sz w:val="20"/>
                <w:szCs w:val="20"/>
                <w:lang w:val="en-US" w:eastAsia="lt-LT"/>
              </w:rPr>
              <w:t>”</w:t>
            </w:r>
          </w:p>
          <w:p w14:paraId="22114B04" w14:textId="77777777" w:rsidR="00196B37" w:rsidRPr="00E16344" w:rsidRDefault="00196B37" w:rsidP="00A4324F">
            <w:pPr>
              <w:pStyle w:val="ListParagraph"/>
              <w:tabs>
                <w:tab w:val="left" w:pos="851"/>
              </w:tabs>
              <w:suppressAutoHyphens/>
              <w:spacing w:line="240" w:lineRule="auto"/>
              <w:ind w:left="394"/>
              <w:jc w:val="both"/>
              <w:textAlignment w:val="baseline"/>
              <w:rPr>
                <w:rFonts w:cstheme="minorHAnsi"/>
                <w:sz w:val="20"/>
                <w:szCs w:val="20"/>
                <w:lang w:val="en-US" w:eastAsia="lt-LT"/>
              </w:rPr>
            </w:pPr>
            <w:r w:rsidRPr="00E16344">
              <w:rPr>
                <w:rFonts w:cstheme="minorHAnsi"/>
                <w:sz w:val="20"/>
                <w:szCs w:val="20"/>
                <w:lang w:val="en-US" w:eastAsia="lt-LT"/>
              </w:rPr>
              <w:t xml:space="preserve">Regarding BAL NC only one forecasting party shall be designated in one balancing zone. Since we are planning to have common balancing zone there is an issue how forecasting party should be designated and how </w:t>
            </w:r>
            <w:proofErr w:type="gramStart"/>
            <w:r w:rsidRPr="00E16344">
              <w:rPr>
                <w:rFonts w:cstheme="minorHAnsi"/>
                <w:sz w:val="20"/>
                <w:szCs w:val="20"/>
                <w:lang w:val="en-US" w:eastAsia="lt-LT"/>
              </w:rPr>
              <w:t>it’s</w:t>
            </w:r>
            <w:proofErr w:type="gramEnd"/>
            <w:r w:rsidRPr="00E16344">
              <w:rPr>
                <w:rFonts w:cstheme="minorHAnsi"/>
                <w:sz w:val="20"/>
                <w:szCs w:val="20"/>
                <w:lang w:val="en-US" w:eastAsia="lt-LT"/>
              </w:rPr>
              <w:t xml:space="preserve"> task should be conducted.</w:t>
            </w:r>
          </w:p>
          <w:p w14:paraId="0C778BA2" w14:textId="77777777" w:rsidR="00196B37" w:rsidRPr="00E16344" w:rsidRDefault="00196B37" w:rsidP="00A4324F">
            <w:pPr>
              <w:pStyle w:val="ListParagraph"/>
              <w:tabs>
                <w:tab w:val="left" w:pos="851"/>
              </w:tabs>
              <w:suppressAutoHyphens/>
              <w:spacing w:line="240" w:lineRule="auto"/>
              <w:ind w:left="394"/>
              <w:jc w:val="both"/>
              <w:textAlignment w:val="baseline"/>
              <w:rPr>
                <w:rFonts w:cstheme="minorHAnsi"/>
                <w:sz w:val="20"/>
                <w:szCs w:val="20"/>
                <w:lang w:val="en-US" w:eastAsia="lt-LT"/>
              </w:rPr>
            </w:pPr>
            <w:r w:rsidRPr="00E16344">
              <w:rPr>
                <w:rFonts w:cstheme="minorHAnsi"/>
                <w:sz w:val="20"/>
                <w:szCs w:val="20"/>
                <w:lang w:val="en-US" w:eastAsia="lt-LT"/>
              </w:rPr>
              <w:t>Also, only one information model should be applied in one balancing zone – only one forecasting of NDM quantities methodology should be applied which also should be approved by the NRAs. Otherwise due to the different methodologies network users connected to the one system (EE) would be discriminated against others connected to the other system (LV) (Gas Regulation Art. 14).</w:t>
            </w:r>
          </w:p>
          <w:p w14:paraId="61347BA6" w14:textId="77777777" w:rsidR="00196B37" w:rsidRPr="00E16344" w:rsidRDefault="00196B37" w:rsidP="00A4324F">
            <w:pPr>
              <w:pStyle w:val="ListParagraph"/>
              <w:numPr>
                <w:ilvl w:val="0"/>
                <w:numId w:val="20"/>
              </w:numPr>
              <w:tabs>
                <w:tab w:val="left" w:pos="851"/>
              </w:tabs>
              <w:suppressAutoHyphens/>
              <w:spacing w:line="240" w:lineRule="auto"/>
              <w:jc w:val="both"/>
              <w:textAlignment w:val="baseline"/>
              <w:rPr>
                <w:rFonts w:cstheme="minorHAnsi"/>
                <w:sz w:val="20"/>
                <w:szCs w:val="20"/>
                <w:lang w:val="en-US" w:eastAsia="lt-LT"/>
              </w:rPr>
            </w:pPr>
            <w:r w:rsidRPr="00E16344">
              <w:rPr>
                <w:rFonts w:cstheme="minorHAnsi"/>
                <w:sz w:val="20"/>
                <w:szCs w:val="20"/>
                <w:lang w:val="en-US" w:eastAsia="lt-LT"/>
              </w:rPr>
              <w:t>7.4.3</w:t>
            </w:r>
            <w:proofErr w:type="gramStart"/>
            <w:r w:rsidRPr="00E16344">
              <w:rPr>
                <w:rFonts w:cstheme="minorHAnsi"/>
                <w:sz w:val="20"/>
                <w:szCs w:val="20"/>
                <w:lang w:val="en-US" w:eastAsia="lt-LT"/>
              </w:rPr>
              <w:t xml:space="preserve">. </w:t>
            </w:r>
            <w:r w:rsidRPr="00E16344">
              <w:rPr>
                <w:rFonts w:cstheme="minorHAnsi"/>
                <w:sz w:val="20"/>
                <w:szCs w:val="20"/>
                <w:lang w:val="en-US"/>
              </w:rPr>
              <w:t xml:space="preserve"> </w:t>
            </w:r>
            <w:r w:rsidRPr="00E16344">
              <w:rPr>
                <w:rFonts w:cstheme="minorHAnsi"/>
                <w:sz w:val="20"/>
                <w:szCs w:val="20"/>
                <w:lang w:val="en-US" w:eastAsia="lt-LT"/>
              </w:rPr>
              <w:t>A</w:t>
            </w:r>
            <w:proofErr w:type="gramEnd"/>
            <w:r w:rsidRPr="00E16344">
              <w:rPr>
                <w:rFonts w:cstheme="minorHAnsi"/>
                <w:sz w:val="20"/>
                <w:szCs w:val="20"/>
                <w:lang w:val="en-US" w:eastAsia="lt-LT"/>
              </w:rPr>
              <w:t xml:space="preserve"> second update 13:00 h UTC (winter time) or 12:00 h UTC (daylight saving), i.e. 15:00 h local time, on day D.</w:t>
            </w:r>
          </w:p>
          <w:p w14:paraId="3578792E" w14:textId="77777777" w:rsidR="00196B37" w:rsidRPr="00E16344" w:rsidRDefault="00196B37" w:rsidP="00A4324F">
            <w:pPr>
              <w:pStyle w:val="ListParagraph"/>
              <w:tabs>
                <w:tab w:val="left" w:pos="851"/>
              </w:tabs>
              <w:suppressAutoHyphens/>
              <w:spacing w:line="240" w:lineRule="auto"/>
              <w:ind w:left="394"/>
              <w:jc w:val="both"/>
              <w:textAlignment w:val="baseline"/>
              <w:rPr>
                <w:rFonts w:cstheme="minorHAnsi"/>
                <w:i/>
                <w:sz w:val="20"/>
                <w:szCs w:val="20"/>
                <w:lang w:val="en-US" w:eastAsia="lt-LT"/>
              </w:rPr>
            </w:pPr>
            <w:r w:rsidRPr="00E16344">
              <w:rPr>
                <w:rFonts w:cstheme="minorHAnsi"/>
                <w:sz w:val="20"/>
                <w:szCs w:val="20"/>
                <w:lang w:val="en-US" w:eastAsia="lt-LT"/>
              </w:rPr>
              <w:t>BAL NC Article 36 (3): „</w:t>
            </w:r>
            <w:r w:rsidRPr="00E16344">
              <w:rPr>
                <w:rFonts w:cstheme="minorHAnsi"/>
                <w:i/>
                <w:sz w:val="20"/>
                <w:szCs w:val="20"/>
                <w:lang w:val="en-US" w:eastAsia="lt-LT"/>
              </w:rPr>
              <w:t>3. The time of the second update provision shall be defined upon approval by the national regulatory authority and published by the transmission system operator. This shall take into consideration the following:</w:t>
            </w:r>
          </w:p>
          <w:p w14:paraId="69CDA66F" w14:textId="77777777" w:rsidR="00196B37" w:rsidRPr="00E16344" w:rsidRDefault="00196B37" w:rsidP="00A4324F">
            <w:pPr>
              <w:pStyle w:val="ListParagraph"/>
              <w:tabs>
                <w:tab w:val="left" w:pos="851"/>
              </w:tabs>
              <w:suppressAutoHyphens/>
              <w:spacing w:line="240" w:lineRule="auto"/>
              <w:ind w:left="394"/>
              <w:jc w:val="both"/>
              <w:textAlignment w:val="baseline"/>
              <w:rPr>
                <w:rFonts w:cstheme="minorHAnsi"/>
                <w:i/>
                <w:sz w:val="20"/>
                <w:szCs w:val="20"/>
                <w:lang w:val="en-US" w:eastAsia="lt-LT"/>
              </w:rPr>
            </w:pPr>
            <w:r w:rsidRPr="00E16344">
              <w:rPr>
                <w:rFonts w:cstheme="minorHAnsi"/>
                <w:i/>
                <w:sz w:val="20"/>
                <w:szCs w:val="20"/>
                <w:lang w:val="en-US" w:eastAsia="lt-LT"/>
              </w:rPr>
              <w:t xml:space="preserve">(a) access to short term </w:t>
            </w:r>
            <w:proofErr w:type="spellStart"/>
            <w:r w:rsidRPr="00E16344">
              <w:rPr>
                <w:rFonts w:cstheme="minorHAnsi"/>
                <w:i/>
                <w:sz w:val="20"/>
                <w:szCs w:val="20"/>
                <w:lang w:val="en-US" w:eastAsia="lt-LT"/>
              </w:rPr>
              <w:t>standardised</w:t>
            </w:r>
            <w:proofErr w:type="spellEnd"/>
            <w:r w:rsidRPr="00E16344">
              <w:rPr>
                <w:rFonts w:cstheme="minorHAnsi"/>
                <w:i/>
                <w:sz w:val="20"/>
                <w:szCs w:val="20"/>
                <w:lang w:val="en-US" w:eastAsia="lt-LT"/>
              </w:rPr>
              <w:t xml:space="preserve"> products on a trading platform;</w:t>
            </w:r>
          </w:p>
          <w:p w14:paraId="1176F088" w14:textId="77777777" w:rsidR="00196B37" w:rsidRPr="00E16344" w:rsidRDefault="00196B37" w:rsidP="00A4324F">
            <w:pPr>
              <w:pStyle w:val="ListParagraph"/>
              <w:tabs>
                <w:tab w:val="left" w:pos="851"/>
              </w:tabs>
              <w:suppressAutoHyphens/>
              <w:spacing w:line="240" w:lineRule="auto"/>
              <w:ind w:left="394"/>
              <w:jc w:val="both"/>
              <w:textAlignment w:val="baseline"/>
              <w:rPr>
                <w:rFonts w:cstheme="minorHAnsi"/>
                <w:i/>
                <w:sz w:val="20"/>
                <w:szCs w:val="20"/>
                <w:lang w:val="en-US" w:eastAsia="lt-LT"/>
              </w:rPr>
            </w:pPr>
            <w:r w:rsidRPr="00E16344">
              <w:rPr>
                <w:rFonts w:cstheme="minorHAnsi"/>
                <w:i/>
                <w:sz w:val="20"/>
                <w:szCs w:val="20"/>
                <w:lang w:val="en-US" w:eastAsia="lt-LT"/>
              </w:rPr>
              <w:t xml:space="preserve">(b) accuracy of the forecast of a network users </w:t>
            </w:r>
            <w:proofErr w:type="spellStart"/>
            <w:r w:rsidRPr="00E16344">
              <w:rPr>
                <w:rFonts w:cstheme="minorHAnsi"/>
                <w:i/>
                <w:sz w:val="20"/>
                <w:szCs w:val="20"/>
                <w:lang w:val="en-US" w:eastAsia="lt-LT"/>
              </w:rPr>
              <w:t>non daily</w:t>
            </w:r>
            <w:proofErr w:type="spellEnd"/>
            <w:r w:rsidRPr="00E16344">
              <w:rPr>
                <w:rFonts w:cstheme="minorHAnsi"/>
                <w:i/>
                <w:sz w:val="20"/>
                <w:szCs w:val="20"/>
                <w:lang w:val="en-US" w:eastAsia="lt-LT"/>
              </w:rPr>
              <w:t xml:space="preserve"> off-takes as compared to the time of its provision;</w:t>
            </w:r>
          </w:p>
          <w:p w14:paraId="1AF63CB8" w14:textId="77777777" w:rsidR="00196B37" w:rsidRPr="00E16344" w:rsidRDefault="00196B37" w:rsidP="00A4324F">
            <w:pPr>
              <w:pStyle w:val="ListParagraph"/>
              <w:tabs>
                <w:tab w:val="left" w:pos="851"/>
              </w:tabs>
              <w:suppressAutoHyphens/>
              <w:spacing w:line="240" w:lineRule="auto"/>
              <w:ind w:left="394"/>
              <w:jc w:val="both"/>
              <w:textAlignment w:val="baseline"/>
              <w:rPr>
                <w:rFonts w:cstheme="minorHAnsi"/>
                <w:i/>
                <w:sz w:val="20"/>
                <w:szCs w:val="20"/>
                <w:lang w:val="en-US" w:eastAsia="lt-LT"/>
              </w:rPr>
            </w:pPr>
            <w:r w:rsidRPr="00E16344">
              <w:rPr>
                <w:rFonts w:cstheme="minorHAnsi"/>
                <w:i/>
                <w:sz w:val="20"/>
                <w:szCs w:val="20"/>
                <w:lang w:val="en-US" w:eastAsia="lt-LT"/>
              </w:rPr>
              <w:t>(c) time when the re-nomination period ends, as provided in Article 15(1);</w:t>
            </w:r>
          </w:p>
          <w:p w14:paraId="738411DE" w14:textId="77777777" w:rsidR="00196B37" w:rsidRPr="00E16344" w:rsidRDefault="00196B37" w:rsidP="00A4324F">
            <w:pPr>
              <w:pStyle w:val="ListParagraph"/>
              <w:tabs>
                <w:tab w:val="left" w:pos="851"/>
              </w:tabs>
              <w:suppressAutoHyphens/>
              <w:spacing w:line="240" w:lineRule="auto"/>
              <w:ind w:left="394"/>
              <w:jc w:val="both"/>
              <w:textAlignment w:val="baseline"/>
              <w:rPr>
                <w:rFonts w:cstheme="minorHAnsi"/>
                <w:i/>
                <w:sz w:val="20"/>
                <w:szCs w:val="20"/>
                <w:lang w:val="en-US" w:eastAsia="lt-LT"/>
              </w:rPr>
            </w:pPr>
            <w:r w:rsidRPr="00E16344">
              <w:rPr>
                <w:rFonts w:cstheme="minorHAnsi"/>
                <w:i/>
                <w:sz w:val="20"/>
                <w:szCs w:val="20"/>
                <w:lang w:val="en-US" w:eastAsia="lt-LT"/>
              </w:rPr>
              <w:t xml:space="preserve">(d) </w:t>
            </w:r>
            <w:proofErr w:type="gramStart"/>
            <w:r w:rsidRPr="00E16344">
              <w:rPr>
                <w:rFonts w:cstheme="minorHAnsi"/>
                <w:i/>
                <w:sz w:val="20"/>
                <w:szCs w:val="20"/>
                <w:lang w:val="en-US" w:eastAsia="lt-LT"/>
              </w:rPr>
              <w:t>time</w:t>
            </w:r>
            <w:proofErr w:type="gramEnd"/>
            <w:r w:rsidRPr="00E16344">
              <w:rPr>
                <w:rFonts w:cstheme="minorHAnsi"/>
                <w:i/>
                <w:sz w:val="20"/>
                <w:szCs w:val="20"/>
                <w:lang w:val="en-US" w:eastAsia="lt-LT"/>
              </w:rPr>
              <w:t xml:space="preserve"> of the first update of the forecast for a network user’s </w:t>
            </w:r>
            <w:proofErr w:type="spellStart"/>
            <w:r w:rsidRPr="00E16344">
              <w:rPr>
                <w:rFonts w:cstheme="minorHAnsi"/>
                <w:i/>
                <w:sz w:val="20"/>
                <w:szCs w:val="20"/>
                <w:lang w:val="en-US" w:eastAsia="lt-LT"/>
              </w:rPr>
              <w:t>non daily</w:t>
            </w:r>
            <w:proofErr w:type="spellEnd"/>
            <w:r w:rsidRPr="00E16344">
              <w:rPr>
                <w:rFonts w:cstheme="minorHAnsi"/>
                <w:i/>
                <w:sz w:val="20"/>
                <w:szCs w:val="20"/>
                <w:lang w:val="en-US" w:eastAsia="lt-LT"/>
              </w:rPr>
              <w:t xml:space="preserve"> metered off-takes.“</w:t>
            </w:r>
          </w:p>
          <w:p w14:paraId="2CAE663D" w14:textId="77777777" w:rsidR="00196B37" w:rsidRPr="00E16344" w:rsidRDefault="00196B37" w:rsidP="00A4324F">
            <w:pPr>
              <w:pStyle w:val="ListParagraph"/>
              <w:tabs>
                <w:tab w:val="left" w:pos="851"/>
              </w:tabs>
              <w:suppressAutoHyphens/>
              <w:spacing w:line="240" w:lineRule="auto"/>
              <w:ind w:left="394"/>
              <w:jc w:val="both"/>
              <w:textAlignment w:val="baseline"/>
              <w:rPr>
                <w:rFonts w:cstheme="minorHAnsi"/>
                <w:sz w:val="20"/>
                <w:szCs w:val="20"/>
                <w:lang w:val="en-US" w:eastAsia="lt-LT"/>
              </w:rPr>
            </w:pPr>
            <w:r w:rsidRPr="00E16344">
              <w:rPr>
                <w:rFonts w:cstheme="minorHAnsi"/>
                <w:sz w:val="20"/>
                <w:szCs w:val="20"/>
                <w:lang w:val="en-US" w:eastAsia="lt-LT"/>
              </w:rPr>
              <w:t>We would like to highlight that the second information update deadline should be carefully assessed. Considering that the forecasting party‘s methodology on NDM quantities is not published and considering that currently active trading platform „Get Baltic“ trading session ends at 14:00 h it is not clear how the Article 36 (3) would be implemented. We encourage cooperating with a trading platform operator to prolong the session hours if possible.</w:t>
            </w:r>
          </w:p>
          <w:p w14:paraId="3994FDEA" w14:textId="77777777" w:rsidR="00196B37" w:rsidRPr="00E16344" w:rsidRDefault="00196B37" w:rsidP="00A4324F">
            <w:pPr>
              <w:pStyle w:val="ListParagraph"/>
              <w:numPr>
                <w:ilvl w:val="0"/>
                <w:numId w:val="20"/>
              </w:numPr>
              <w:tabs>
                <w:tab w:val="left" w:pos="851"/>
              </w:tabs>
              <w:suppressAutoHyphens/>
              <w:spacing w:line="240" w:lineRule="auto"/>
              <w:jc w:val="both"/>
              <w:textAlignment w:val="baseline"/>
              <w:rPr>
                <w:rFonts w:cstheme="minorHAnsi"/>
                <w:sz w:val="20"/>
                <w:szCs w:val="20"/>
                <w:lang w:val="en-US" w:eastAsia="lt-LT"/>
              </w:rPr>
            </w:pPr>
            <w:r w:rsidRPr="00E16344">
              <w:rPr>
                <w:rFonts w:eastAsia="Times New Roman" w:cstheme="minorHAnsi"/>
                <w:sz w:val="20"/>
                <w:szCs w:val="20"/>
                <w:lang w:val="en-US" w:eastAsia="lt-LT"/>
              </w:rPr>
              <w:t xml:space="preserve">7.4.5. No later than within one (1) hour after the deadlines specified in article 7.4, the TSO shall provide this information to each network user - </w:t>
            </w:r>
            <w:r w:rsidRPr="00E16344">
              <w:rPr>
                <w:rFonts w:cstheme="minorHAnsi"/>
                <w:sz w:val="20"/>
                <w:szCs w:val="20"/>
                <w:lang w:val="en-US" w:eastAsia="lt-LT"/>
              </w:rPr>
              <w:t xml:space="preserve">Excess provision which is not in line with paragraph 7.4. </w:t>
            </w:r>
            <w:proofErr w:type="gramStart"/>
            <w:r w:rsidRPr="00E16344">
              <w:rPr>
                <w:rFonts w:cstheme="minorHAnsi"/>
                <w:sz w:val="20"/>
                <w:szCs w:val="20"/>
                <w:lang w:val="en-US" w:eastAsia="lt-LT"/>
              </w:rPr>
              <w:t>previous</w:t>
            </w:r>
            <w:proofErr w:type="gramEnd"/>
            <w:r w:rsidRPr="00E16344">
              <w:rPr>
                <w:rFonts w:cstheme="minorHAnsi"/>
                <w:sz w:val="20"/>
                <w:szCs w:val="20"/>
                <w:lang w:val="en-US" w:eastAsia="lt-LT"/>
              </w:rPr>
              <w:t xml:space="preserve"> paragraphs set the deadlines when TSO provide this information to network users. Paragraph 7.5 sets the same rule, but depicts that TSO have additional one hour. Thus, there is a contradiction between paragraphs 7.4 and 7.5.</w:t>
            </w:r>
          </w:p>
        </w:tc>
        <w:tc>
          <w:tcPr>
            <w:tcW w:w="5069" w:type="dxa"/>
          </w:tcPr>
          <w:p w14:paraId="23DDC5FD" w14:textId="7C17A091" w:rsidR="00523DAC" w:rsidRDefault="00407350" w:rsidP="00A4324F">
            <w:pPr>
              <w:pStyle w:val="ListParagraph"/>
              <w:numPr>
                <w:ilvl w:val="0"/>
                <w:numId w:val="32"/>
              </w:numPr>
              <w:spacing w:line="240" w:lineRule="auto"/>
              <w:jc w:val="both"/>
              <w:rPr>
                <w:rFonts w:cstheme="minorHAnsi"/>
                <w:sz w:val="20"/>
                <w:szCs w:val="20"/>
              </w:rPr>
            </w:pPr>
            <w:r>
              <w:rPr>
                <w:rFonts w:cstheme="minorHAnsi"/>
                <w:sz w:val="20"/>
                <w:szCs w:val="20"/>
              </w:rPr>
              <w:lastRenderedPageBreak/>
              <w:t xml:space="preserve">The balancing rules state that the forecasting model used shall be base case model in </w:t>
            </w:r>
            <w:r w:rsidR="00551319">
              <w:rPr>
                <w:rFonts w:cstheme="minorHAnsi"/>
                <w:sz w:val="20"/>
                <w:szCs w:val="20"/>
              </w:rPr>
              <w:t xml:space="preserve">both countries of  </w:t>
            </w:r>
            <w:r>
              <w:rPr>
                <w:rFonts w:cstheme="minorHAnsi"/>
                <w:sz w:val="20"/>
                <w:szCs w:val="20"/>
              </w:rPr>
              <w:t>common</w:t>
            </w:r>
            <w:r w:rsidR="00551319">
              <w:rPr>
                <w:rFonts w:cstheme="minorHAnsi"/>
                <w:sz w:val="20"/>
                <w:szCs w:val="20"/>
              </w:rPr>
              <w:t xml:space="preserve"> balancing</w:t>
            </w:r>
            <w:r>
              <w:rPr>
                <w:rFonts w:cstheme="minorHAnsi"/>
                <w:sz w:val="20"/>
                <w:szCs w:val="20"/>
              </w:rPr>
              <w:t xml:space="preserve"> zone. </w:t>
            </w:r>
            <w:r w:rsidR="00D90004">
              <w:rPr>
                <w:rFonts w:cstheme="minorHAnsi"/>
                <w:sz w:val="20"/>
                <w:szCs w:val="20"/>
              </w:rPr>
              <w:t>The</w:t>
            </w:r>
            <w:r>
              <w:rPr>
                <w:rFonts w:cstheme="minorHAnsi"/>
                <w:sz w:val="20"/>
                <w:szCs w:val="20"/>
              </w:rPr>
              <w:t xml:space="preserve"> TSOs see that each country </w:t>
            </w:r>
            <w:r w:rsidR="00551319">
              <w:rPr>
                <w:rFonts w:cstheme="minorHAnsi"/>
                <w:sz w:val="20"/>
                <w:szCs w:val="20"/>
              </w:rPr>
              <w:t xml:space="preserve">in the common balancing zone </w:t>
            </w:r>
            <w:r>
              <w:rPr>
                <w:rFonts w:cstheme="minorHAnsi"/>
                <w:sz w:val="20"/>
                <w:szCs w:val="20"/>
              </w:rPr>
              <w:t>should have a separate forecasting party.</w:t>
            </w:r>
            <w:r w:rsidR="00551319">
              <w:rPr>
                <w:rFonts w:cstheme="minorHAnsi"/>
                <w:sz w:val="20"/>
                <w:szCs w:val="20"/>
              </w:rPr>
              <w:t xml:space="preserve"> </w:t>
            </w:r>
            <w:r>
              <w:rPr>
                <w:rFonts w:cstheme="minorHAnsi"/>
                <w:sz w:val="20"/>
                <w:szCs w:val="20"/>
              </w:rPr>
              <w:t xml:space="preserve"> Forecasting party </w:t>
            </w:r>
            <w:r w:rsidR="005325A9">
              <w:rPr>
                <w:rFonts w:cstheme="minorHAnsi"/>
                <w:sz w:val="20"/>
                <w:szCs w:val="20"/>
              </w:rPr>
              <w:t xml:space="preserve">for every country is approoved by national </w:t>
            </w:r>
            <w:r w:rsidRPr="00D90004">
              <w:rPr>
                <w:rFonts w:cstheme="minorHAnsi"/>
                <w:sz w:val="20"/>
                <w:szCs w:val="20"/>
              </w:rPr>
              <w:t>NRA.</w:t>
            </w:r>
            <w:r w:rsidR="00153952" w:rsidRPr="00D90004">
              <w:rPr>
                <w:rFonts w:cstheme="minorHAnsi"/>
                <w:sz w:val="20"/>
                <w:szCs w:val="20"/>
              </w:rPr>
              <w:t xml:space="preserve"> </w:t>
            </w:r>
          </w:p>
          <w:p w14:paraId="0E01356F" w14:textId="77777777" w:rsidR="00153952" w:rsidRDefault="00153952" w:rsidP="00A4324F">
            <w:pPr>
              <w:pStyle w:val="ListParagraph"/>
              <w:spacing w:line="240" w:lineRule="auto"/>
              <w:jc w:val="both"/>
              <w:rPr>
                <w:rFonts w:cstheme="minorHAnsi"/>
                <w:color w:val="FF0000"/>
                <w:sz w:val="20"/>
                <w:szCs w:val="20"/>
              </w:rPr>
            </w:pPr>
          </w:p>
          <w:p w14:paraId="5F6B917A" w14:textId="77777777" w:rsidR="00153952" w:rsidRDefault="00153952" w:rsidP="00A4324F">
            <w:pPr>
              <w:pStyle w:val="ListParagraph"/>
              <w:spacing w:line="240" w:lineRule="auto"/>
              <w:jc w:val="both"/>
              <w:rPr>
                <w:rFonts w:cstheme="minorHAnsi"/>
                <w:color w:val="FF0000"/>
                <w:sz w:val="20"/>
                <w:szCs w:val="20"/>
              </w:rPr>
            </w:pPr>
          </w:p>
          <w:p w14:paraId="3CB8F154" w14:textId="77777777" w:rsidR="00153952" w:rsidRDefault="00153952" w:rsidP="00A4324F">
            <w:pPr>
              <w:pStyle w:val="ListParagraph"/>
              <w:spacing w:line="240" w:lineRule="auto"/>
              <w:jc w:val="both"/>
              <w:rPr>
                <w:rFonts w:cstheme="minorHAnsi"/>
                <w:color w:val="FF0000"/>
                <w:sz w:val="20"/>
                <w:szCs w:val="20"/>
              </w:rPr>
            </w:pPr>
          </w:p>
          <w:p w14:paraId="1E0EEE99" w14:textId="77777777" w:rsidR="00153952" w:rsidRDefault="00153952" w:rsidP="00A4324F">
            <w:pPr>
              <w:pStyle w:val="ListParagraph"/>
              <w:spacing w:line="240" w:lineRule="auto"/>
              <w:jc w:val="both"/>
              <w:rPr>
                <w:rFonts w:cstheme="minorHAnsi"/>
                <w:color w:val="FF0000"/>
                <w:sz w:val="20"/>
                <w:szCs w:val="20"/>
              </w:rPr>
            </w:pPr>
          </w:p>
          <w:p w14:paraId="3DE41735" w14:textId="77777777" w:rsidR="00153952" w:rsidRDefault="00153952" w:rsidP="00A4324F">
            <w:pPr>
              <w:pStyle w:val="ListParagraph"/>
              <w:spacing w:line="240" w:lineRule="auto"/>
              <w:jc w:val="both"/>
              <w:rPr>
                <w:rFonts w:cstheme="minorHAnsi"/>
                <w:color w:val="FF0000"/>
                <w:sz w:val="20"/>
                <w:szCs w:val="20"/>
              </w:rPr>
            </w:pPr>
          </w:p>
          <w:p w14:paraId="725B2BDC" w14:textId="77777777" w:rsidR="00153952" w:rsidRDefault="00153952" w:rsidP="00A4324F">
            <w:pPr>
              <w:pStyle w:val="ListParagraph"/>
              <w:spacing w:line="240" w:lineRule="auto"/>
              <w:jc w:val="both"/>
              <w:rPr>
                <w:rFonts w:cstheme="minorHAnsi"/>
                <w:color w:val="FF0000"/>
                <w:sz w:val="20"/>
                <w:szCs w:val="20"/>
              </w:rPr>
            </w:pPr>
          </w:p>
          <w:p w14:paraId="2EAE8E6F" w14:textId="77777777" w:rsidR="00153952" w:rsidRDefault="00153952" w:rsidP="00A4324F">
            <w:pPr>
              <w:pStyle w:val="ListParagraph"/>
              <w:spacing w:line="240" w:lineRule="auto"/>
              <w:jc w:val="both"/>
              <w:rPr>
                <w:rFonts w:cstheme="minorHAnsi"/>
                <w:color w:val="FF0000"/>
                <w:sz w:val="20"/>
                <w:szCs w:val="20"/>
              </w:rPr>
            </w:pPr>
          </w:p>
          <w:p w14:paraId="799B075F" w14:textId="77777777" w:rsidR="00153952" w:rsidRDefault="00153952" w:rsidP="00A4324F">
            <w:pPr>
              <w:pStyle w:val="ListParagraph"/>
              <w:spacing w:line="240" w:lineRule="auto"/>
              <w:jc w:val="both"/>
              <w:rPr>
                <w:rFonts w:cstheme="minorHAnsi"/>
                <w:color w:val="FF0000"/>
                <w:sz w:val="20"/>
                <w:szCs w:val="20"/>
              </w:rPr>
            </w:pPr>
          </w:p>
          <w:p w14:paraId="4B76B98D" w14:textId="77777777" w:rsidR="00153952" w:rsidRDefault="00153952" w:rsidP="00A4324F">
            <w:pPr>
              <w:pStyle w:val="ListParagraph"/>
              <w:spacing w:line="240" w:lineRule="auto"/>
              <w:jc w:val="both"/>
              <w:rPr>
                <w:rFonts w:cstheme="minorHAnsi"/>
                <w:color w:val="FF0000"/>
                <w:sz w:val="20"/>
                <w:szCs w:val="20"/>
              </w:rPr>
            </w:pPr>
          </w:p>
          <w:p w14:paraId="24B941BF" w14:textId="77777777" w:rsidR="00153952" w:rsidRDefault="00153952" w:rsidP="00A4324F">
            <w:pPr>
              <w:pStyle w:val="ListParagraph"/>
              <w:spacing w:line="240" w:lineRule="auto"/>
              <w:jc w:val="both"/>
              <w:rPr>
                <w:rFonts w:cstheme="minorHAnsi"/>
                <w:color w:val="FF0000"/>
                <w:sz w:val="20"/>
                <w:szCs w:val="20"/>
              </w:rPr>
            </w:pPr>
          </w:p>
          <w:p w14:paraId="721C08F6" w14:textId="77777777" w:rsidR="00153952" w:rsidRDefault="00153952" w:rsidP="00A4324F">
            <w:pPr>
              <w:pStyle w:val="ListParagraph"/>
              <w:spacing w:line="240" w:lineRule="auto"/>
              <w:jc w:val="both"/>
              <w:rPr>
                <w:rFonts w:cstheme="minorHAnsi"/>
                <w:color w:val="FF0000"/>
                <w:sz w:val="20"/>
                <w:szCs w:val="20"/>
              </w:rPr>
            </w:pPr>
          </w:p>
          <w:p w14:paraId="3890B7A2" w14:textId="77777777" w:rsidR="00153952" w:rsidRDefault="00153952" w:rsidP="00A4324F">
            <w:pPr>
              <w:pStyle w:val="ListParagraph"/>
              <w:spacing w:line="240" w:lineRule="auto"/>
              <w:jc w:val="both"/>
              <w:rPr>
                <w:rFonts w:cstheme="minorHAnsi"/>
                <w:color w:val="FF0000"/>
                <w:sz w:val="20"/>
                <w:szCs w:val="20"/>
              </w:rPr>
            </w:pPr>
          </w:p>
          <w:p w14:paraId="22E19BD8" w14:textId="77777777" w:rsidR="00153952" w:rsidRDefault="00153952" w:rsidP="00A4324F">
            <w:pPr>
              <w:pStyle w:val="ListParagraph"/>
              <w:spacing w:line="240" w:lineRule="auto"/>
              <w:jc w:val="both"/>
              <w:rPr>
                <w:rFonts w:cstheme="minorHAnsi"/>
                <w:color w:val="FF0000"/>
                <w:sz w:val="20"/>
                <w:szCs w:val="20"/>
              </w:rPr>
            </w:pPr>
          </w:p>
          <w:p w14:paraId="442466B7" w14:textId="77777777" w:rsidR="00153952" w:rsidRPr="00E16344" w:rsidRDefault="00153952" w:rsidP="00A4324F">
            <w:pPr>
              <w:pStyle w:val="ListParagraph"/>
              <w:spacing w:line="240" w:lineRule="auto"/>
              <w:jc w:val="both"/>
              <w:rPr>
                <w:rFonts w:cstheme="minorHAnsi"/>
                <w:sz w:val="20"/>
                <w:szCs w:val="20"/>
              </w:rPr>
            </w:pPr>
          </w:p>
          <w:p w14:paraId="43854BA1" w14:textId="77777777" w:rsidR="00523DAC" w:rsidRPr="00D90004" w:rsidRDefault="00523DAC" w:rsidP="00A4324F">
            <w:pPr>
              <w:pStyle w:val="ListParagraph"/>
              <w:numPr>
                <w:ilvl w:val="0"/>
                <w:numId w:val="32"/>
              </w:numPr>
              <w:spacing w:line="240" w:lineRule="auto"/>
              <w:jc w:val="both"/>
              <w:rPr>
                <w:rFonts w:cstheme="minorHAnsi"/>
                <w:sz w:val="20"/>
                <w:szCs w:val="20"/>
              </w:rPr>
            </w:pPr>
            <w:r w:rsidRPr="00E16344">
              <w:rPr>
                <w:rFonts w:cstheme="minorHAnsi"/>
                <w:sz w:val="20"/>
                <w:szCs w:val="20"/>
                <w:lang w:val="en-US" w:eastAsia="lt-LT"/>
              </w:rPr>
              <w:t xml:space="preserve">The length of the trading session is set by trading platform operator obviously based on thorough analysis of the market requirements. TSOs are open for </w:t>
            </w:r>
            <w:r w:rsidRPr="00D90004">
              <w:rPr>
                <w:rFonts w:cstheme="minorHAnsi"/>
                <w:sz w:val="20"/>
                <w:szCs w:val="20"/>
                <w:lang w:val="en-US" w:eastAsia="lt-LT"/>
              </w:rPr>
              <w:t>cooperation with any trading platform operators expressing their wish to operate in the integrated gas market area.</w:t>
            </w:r>
          </w:p>
          <w:p w14:paraId="6BB32E76" w14:textId="77777777" w:rsidR="00153952" w:rsidRPr="00C56887" w:rsidRDefault="00153952" w:rsidP="00C56887">
            <w:pPr>
              <w:ind w:left="360"/>
              <w:jc w:val="both"/>
              <w:rPr>
                <w:rFonts w:cstheme="minorHAnsi"/>
                <w:sz w:val="20"/>
                <w:szCs w:val="20"/>
                <w:lang w:val="en-US" w:eastAsia="lt-LT"/>
              </w:rPr>
            </w:pPr>
            <w:r w:rsidRPr="00C56887">
              <w:rPr>
                <w:rFonts w:cstheme="minorHAnsi"/>
                <w:sz w:val="20"/>
                <w:szCs w:val="20"/>
                <w:lang w:val="en-US" w:eastAsia="lt-LT"/>
              </w:rPr>
              <w:t>The current time for second update is TSOs proposal which will be sent to NRAs for approval.</w:t>
            </w:r>
          </w:p>
          <w:p w14:paraId="540A4FF0" w14:textId="77777777" w:rsidR="00D10B00" w:rsidRPr="00E16344" w:rsidRDefault="00D90004" w:rsidP="00A4324F">
            <w:pPr>
              <w:pStyle w:val="ListParagraph"/>
              <w:numPr>
                <w:ilvl w:val="0"/>
                <w:numId w:val="32"/>
              </w:numPr>
              <w:spacing w:line="240" w:lineRule="auto"/>
              <w:jc w:val="both"/>
              <w:rPr>
                <w:rFonts w:cstheme="minorHAnsi"/>
                <w:sz w:val="20"/>
                <w:szCs w:val="20"/>
              </w:rPr>
            </w:pPr>
            <w:r>
              <w:rPr>
                <w:rFonts w:cstheme="minorHAnsi"/>
                <w:sz w:val="20"/>
                <w:szCs w:val="20"/>
                <w:lang w:val="en-US" w:eastAsia="lt-LT"/>
              </w:rPr>
              <w:t>Proposal will be taken into account.</w:t>
            </w:r>
            <w:r>
              <w:rPr>
                <w:rFonts w:cstheme="minorHAnsi"/>
                <w:sz w:val="20"/>
                <w:szCs w:val="20"/>
                <w:shd w:val="clear" w:color="auto" w:fill="FFFF00"/>
                <w:lang w:val="en-US" w:eastAsia="lt-LT"/>
              </w:rPr>
              <w:t xml:space="preserve"> </w:t>
            </w:r>
          </w:p>
        </w:tc>
      </w:tr>
      <w:tr w:rsidR="00C644DF" w:rsidRPr="00E16344" w14:paraId="0B6355AA" w14:textId="77777777" w:rsidTr="00C644DF">
        <w:tc>
          <w:tcPr>
            <w:tcW w:w="13995" w:type="dxa"/>
            <w:gridSpan w:val="2"/>
            <w:shd w:val="clear" w:color="auto" w:fill="D0CECE" w:themeFill="background2" w:themeFillShade="E6"/>
            <w:vAlign w:val="center"/>
          </w:tcPr>
          <w:p w14:paraId="477C6CB6" w14:textId="77777777" w:rsidR="00C644DF" w:rsidRPr="00E16344" w:rsidRDefault="00C644DF" w:rsidP="00A4324F">
            <w:pPr>
              <w:pStyle w:val="Heading2"/>
              <w:jc w:val="both"/>
              <w:outlineLvl w:val="1"/>
            </w:pPr>
            <w:r w:rsidRPr="00E16344">
              <w:lastRenderedPageBreak/>
              <w:t>Settlement of Imbalances</w:t>
            </w:r>
          </w:p>
        </w:tc>
      </w:tr>
      <w:tr w:rsidR="00C644DF" w:rsidRPr="00E16344" w14:paraId="6B785B86" w14:textId="77777777" w:rsidTr="00C644DF">
        <w:tc>
          <w:tcPr>
            <w:tcW w:w="8926" w:type="dxa"/>
          </w:tcPr>
          <w:p w14:paraId="7CDA2289" w14:textId="7D5800EB" w:rsidR="00C644DF" w:rsidRPr="00E16344" w:rsidRDefault="000F67E6" w:rsidP="00A4324F">
            <w:pPr>
              <w:jc w:val="both"/>
              <w:rPr>
                <w:rFonts w:eastAsia="Times New Roman" w:cstheme="minorHAnsi"/>
                <w:sz w:val="20"/>
                <w:szCs w:val="20"/>
                <w:lang w:val="en-GB" w:eastAsia="en-GB"/>
              </w:rPr>
            </w:pPr>
            <w:r>
              <w:rPr>
                <w:rFonts w:eastAsia="Times New Roman" w:cstheme="minorHAnsi"/>
                <w:sz w:val="20"/>
                <w:szCs w:val="20"/>
                <w:lang w:val="en-GB" w:eastAsia="en-GB"/>
              </w:rPr>
              <w:t>Stakeholder 4</w:t>
            </w:r>
          </w:p>
          <w:p w14:paraId="576BE26C" w14:textId="77777777" w:rsidR="00C644DF" w:rsidRPr="00E16344" w:rsidRDefault="00C644DF" w:rsidP="00A4324F">
            <w:pPr>
              <w:jc w:val="both"/>
              <w:rPr>
                <w:rFonts w:eastAsia="Times New Roman" w:cstheme="minorHAnsi"/>
                <w:sz w:val="20"/>
                <w:szCs w:val="20"/>
                <w:lang w:val="en-GB" w:eastAsia="en-GB"/>
              </w:rPr>
            </w:pPr>
            <w:r w:rsidRPr="00E16344">
              <w:rPr>
                <w:rFonts w:eastAsia="Times New Roman" w:cstheme="minorHAnsi"/>
                <w:sz w:val="20"/>
                <w:szCs w:val="20"/>
                <w:lang w:val="en-GB" w:eastAsia="en-GB"/>
              </w:rPr>
              <w:t xml:space="preserve">Par. 8.3.1 a) </w:t>
            </w:r>
            <w:proofErr w:type="spellStart"/>
            <w:r w:rsidRPr="00E16344">
              <w:rPr>
                <w:rFonts w:eastAsia="Times New Roman" w:cstheme="minorHAnsi"/>
                <w:sz w:val="20"/>
                <w:szCs w:val="20"/>
                <w:lang w:val="en-GB" w:eastAsia="en-GB"/>
              </w:rPr>
              <w:t>i</w:t>
            </w:r>
            <w:proofErr w:type="spellEnd"/>
            <w:r w:rsidRPr="00E16344">
              <w:rPr>
                <w:rFonts w:eastAsia="Times New Roman" w:cstheme="minorHAnsi"/>
                <w:sz w:val="20"/>
                <w:szCs w:val="20"/>
                <w:lang w:val="en-GB" w:eastAsia="en-GB"/>
              </w:rPr>
              <w:t xml:space="preserve"> and Par. 8.3.1 b) iii might have highly unfavourable prices as it includes ANY purchase/sale price TSO is involved in and NU would have to compensate it. In our view, such mechanism is not transparent and only weighted average prices from trading platforms shall be used in calculations of balancing prices.</w:t>
            </w:r>
          </w:p>
          <w:p w14:paraId="60DA1E6D" w14:textId="77777777" w:rsidR="00C644DF" w:rsidRPr="00E16344" w:rsidRDefault="00C644DF" w:rsidP="00A4324F">
            <w:pPr>
              <w:jc w:val="both"/>
              <w:rPr>
                <w:rFonts w:eastAsia="Times New Roman" w:cstheme="minorHAnsi"/>
                <w:sz w:val="20"/>
                <w:szCs w:val="20"/>
                <w:lang w:val="en-GB" w:eastAsia="en-GB"/>
              </w:rPr>
            </w:pPr>
          </w:p>
          <w:p w14:paraId="2ACE2998" w14:textId="77777777" w:rsidR="00C644DF" w:rsidRPr="00E16344" w:rsidRDefault="00C644DF" w:rsidP="00A4324F">
            <w:pPr>
              <w:jc w:val="both"/>
              <w:rPr>
                <w:rFonts w:eastAsia="Times New Roman" w:cstheme="minorHAnsi"/>
                <w:sz w:val="20"/>
                <w:szCs w:val="20"/>
                <w:lang w:val="en-GB" w:eastAsia="en-GB"/>
              </w:rPr>
            </w:pPr>
            <w:r w:rsidRPr="00E16344">
              <w:rPr>
                <w:rFonts w:eastAsia="Times New Roman" w:cstheme="minorHAnsi"/>
                <w:sz w:val="20"/>
                <w:szCs w:val="20"/>
                <w:lang w:val="en-GB" w:eastAsia="en-GB"/>
              </w:rPr>
              <w:t>Both incentive factor and neutrality adjustment is used in the same formula technically serving the same purpose. Therefore, we find it excessive and propose to exclude one or another.</w:t>
            </w:r>
          </w:p>
          <w:p w14:paraId="421E7892" w14:textId="77777777" w:rsidR="00C644DF" w:rsidRPr="00E16344" w:rsidRDefault="00C644DF" w:rsidP="00A4324F">
            <w:pPr>
              <w:jc w:val="both"/>
              <w:rPr>
                <w:rFonts w:eastAsia="Times New Roman" w:cstheme="minorHAnsi"/>
                <w:sz w:val="20"/>
                <w:szCs w:val="20"/>
                <w:lang w:val="en-GB" w:eastAsia="en-GB"/>
              </w:rPr>
            </w:pPr>
          </w:p>
          <w:p w14:paraId="26045667" w14:textId="77777777" w:rsidR="00C644DF" w:rsidRPr="00E16344" w:rsidRDefault="00C644DF" w:rsidP="00A4324F">
            <w:pPr>
              <w:jc w:val="both"/>
              <w:rPr>
                <w:rFonts w:cstheme="minorHAnsi"/>
                <w:sz w:val="20"/>
                <w:szCs w:val="20"/>
              </w:rPr>
            </w:pPr>
            <w:r w:rsidRPr="00E16344">
              <w:rPr>
                <w:rFonts w:eastAsia="Times New Roman" w:cstheme="minorHAnsi"/>
                <w:sz w:val="20"/>
                <w:szCs w:val="20"/>
                <w:lang w:val="en-GB" w:eastAsia="en-GB"/>
              </w:rPr>
              <w:t xml:space="preserve">MSP/MBP formula is sum of: Gas Exchange Price x incentive factor +/- neutrality adjustment. While par. 8.3.4. </w:t>
            </w:r>
            <w:proofErr w:type="gramStart"/>
            <w:r w:rsidRPr="00E16344">
              <w:rPr>
                <w:rFonts w:eastAsia="Times New Roman" w:cstheme="minorHAnsi"/>
                <w:sz w:val="20"/>
                <w:szCs w:val="20"/>
                <w:lang w:val="en-GB" w:eastAsia="en-GB"/>
              </w:rPr>
              <w:t>states</w:t>
            </w:r>
            <w:proofErr w:type="gramEnd"/>
            <w:r w:rsidRPr="00E16344">
              <w:rPr>
                <w:rFonts w:eastAsia="Times New Roman" w:cstheme="minorHAnsi"/>
                <w:sz w:val="20"/>
                <w:szCs w:val="20"/>
                <w:lang w:val="en-GB" w:eastAsia="en-GB"/>
              </w:rPr>
              <w:t xml:space="preserve"> that neutrality adjustment shall not exceed ten percent of MSP/MBP. </w:t>
            </w:r>
            <w:proofErr w:type="spellStart"/>
            <w:r w:rsidRPr="00E16344">
              <w:rPr>
                <w:rFonts w:eastAsia="Times New Roman" w:cstheme="minorHAnsi"/>
                <w:sz w:val="20"/>
                <w:szCs w:val="20"/>
                <w:lang w:val="en-GB" w:eastAsia="en-GB"/>
              </w:rPr>
              <w:t>Neturality</w:t>
            </w:r>
            <w:proofErr w:type="spellEnd"/>
            <w:r w:rsidRPr="00E16344">
              <w:rPr>
                <w:rFonts w:eastAsia="Times New Roman" w:cstheme="minorHAnsi"/>
                <w:sz w:val="20"/>
                <w:szCs w:val="20"/>
                <w:lang w:val="en-GB" w:eastAsia="en-GB"/>
              </w:rPr>
              <w:t xml:space="preserve"> adjustment seems to be one of the elements in calculating MSP/MBP, therefore, paragraphs contradict</w:t>
            </w:r>
          </w:p>
        </w:tc>
        <w:tc>
          <w:tcPr>
            <w:tcW w:w="5069" w:type="dxa"/>
          </w:tcPr>
          <w:p w14:paraId="0F736D56" w14:textId="77777777" w:rsidR="003D0B58" w:rsidRDefault="003D0B58" w:rsidP="003D0B58">
            <w:pPr>
              <w:jc w:val="both"/>
              <w:rPr>
                <w:rFonts w:cstheme="minorHAnsi"/>
                <w:sz w:val="20"/>
                <w:szCs w:val="20"/>
              </w:rPr>
            </w:pPr>
            <w:r>
              <w:rPr>
                <w:rFonts w:cstheme="minorHAnsi"/>
                <w:sz w:val="20"/>
                <w:szCs w:val="20"/>
              </w:rPr>
              <w:t>Neutrality adjustment removed from marginal sell and buy price calculation.</w:t>
            </w:r>
          </w:p>
          <w:p w14:paraId="5A362D65" w14:textId="77777777" w:rsidR="00EA4A33" w:rsidRPr="00EA4A33" w:rsidRDefault="00EA4A33" w:rsidP="003D0B58">
            <w:pPr>
              <w:jc w:val="both"/>
              <w:rPr>
                <w:rFonts w:cstheme="minorHAnsi"/>
                <w:sz w:val="20"/>
                <w:szCs w:val="20"/>
              </w:rPr>
            </w:pPr>
            <w:r>
              <w:rPr>
                <w:rFonts w:cstheme="minorHAnsi"/>
                <w:sz w:val="20"/>
                <w:szCs w:val="20"/>
              </w:rPr>
              <w:t xml:space="preserve">Marginal sell and buy price calculation is defined in regulation 312/2014 and therefore cannot be changed. The incentive factor and neutrality adjustment are two diferent components of the price. The incentive factor is only used when the marginal price of the respective day is the weighted average price of the trading platform (for the purpose of dual pricing). </w:t>
            </w:r>
          </w:p>
        </w:tc>
      </w:tr>
      <w:tr w:rsidR="0043174E" w:rsidRPr="00E16344" w14:paraId="09D90E1D" w14:textId="77777777" w:rsidTr="00C644DF">
        <w:tc>
          <w:tcPr>
            <w:tcW w:w="8926" w:type="dxa"/>
          </w:tcPr>
          <w:p w14:paraId="035C09BC" w14:textId="7B571C36" w:rsidR="0043174E" w:rsidRPr="00E16344" w:rsidRDefault="000F67E6" w:rsidP="00A4324F">
            <w:pPr>
              <w:jc w:val="both"/>
              <w:rPr>
                <w:rFonts w:cstheme="minorHAnsi"/>
                <w:sz w:val="20"/>
                <w:szCs w:val="20"/>
                <w:lang w:val="en-US" w:eastAsia="lt-LT"/>
              </w:rPr>
            </w:pPr>
            <w:r>
              <w:rPr>
                <w:rFonts w:cstheme="minorHAnsi"/>
                <w:sz w:val="20"/>
                <w:szCs w:val="20"/>
                <w:lang w:val="en-US" w:eastAsia="lt-LT"/>
              </w:rPr>
              <w:t>Stakeholder 5</w:t>
            </w:r>
          </w:p>
          <w:p w14:paraId="7CEE340E" w14:textId="77777777" w:rsidR="00672802" w:rsidRPr="00E16344" w:rsidRDefault="00196B37" w:rsidP="00A4324F">
            <w:pPr>
              <w:pStyle w:val="ListParagraph"/>
              <w:numPr>
                <w:ilvl w:val="0"/>
                <w:numId w:val="21"/>
              </w:numPr>
              <w:tabs>
                <w:tab w:val="left" w:pos="851"/>
              </w:tabs>
              <w:suppressAutoHyphens/>
              <w:spacing w:line="240" w:lineRule="auto"/>
              <w:jc w:val="both"/>
              <w:textAlignment w:val="baseline"/>
              <w:rPr>
                <w:rFonts w:cstheme="minorHAnsi"/>
                <w:sz w:val="20"/>
                <w:szCs w:val="20"/>
                <w:lang w:val="en-US" w:eastAsia="lt-LT"/>
              </w:rPr>
            </w:pPr>
            <w:r w:rsidRPr="00EA4A33">
              <w:rPr>
                <w:rFonts w:cstheme="minorHAnsi"/>
                <w:i/>
                <w:sz w:val="20"/>
                <w:szCs w:val="20"/>
                <w:lang w:val="en-US" w:eastAsia="lt-LT"/>
              </w:rPr>
              <w:t>The daily imbalance quantity shall be rounded to kWh</w:t>
            </w:r>
            <w:r w:rsidRPr="00E16344">
              <w:rPr>
                <w:rFonts w:cstheme="minorHAnsi"/>
                <w:sz w:val="20"/>
                <w:szCs w:val="20"/>
                <w:lang w:val="en-US" w:eastAsia="lt-LT"/>
              </w:rPr>
              <w:t xml:space="preserve"> - More detailed r</w:t>
            </w:r>
            <w:r w:rsidR="00672802" w:rsidRPr="00E16344">
              <w:rPr>
                <w:rFonts w:cstheme="minorHAnsi"/>
                <w:sz w:val="20"/>
                <w:szCs w:val="20"/>
                <w:lang w:val="en-US" w:eastAsia="lt-LT"/>
              </w:rPr>
              <w:t xml:space="preserve">ounding rules should be applied </w:t>
            </w:r>
            <w:r w:rsidRPr="00E16344">
              <w:rPr>
                <w:rFonts w:cstheme="minorHAnsi"/>
                <w:sz w:val="20"/>
                <w:szCs w:val="20"/>
                <w:lang w:val="en-US" w:eastAsia="lt-LT"/>
              </w:rPr>
              <w:t>in order to avoid misinterpretations. E.g. rounded to the integer unit in kWh.</w:t>
            </w:r>
          </w:p>
          <w:p w14:paraId="594FF738" w14:textId="77777777" w:rsidR="00672802" w:rsidRPr="00E16344" w:rsidRDefault="00196B37" w:rsidP="00A4324F">
            <w:pPr>
              <w:pStyle w:val="ListParagraph"/>
              <w:numPr>
                <w:ilvl w:val="0"/>
                <w:numId w:val="21"/>
              </w:numPr>
              <w:tabs>
                <w:tab w:val="left" w:pos="851"/>
              </w:tabs>
              <w:suppressAutoHyphens/>
              <w:spacing w:line="240" w:lineRule="auto"/>
              <w:jc w:val="both"/>
              <w:textAlignment w:val="baseline"/>
              <w:rPr>
                <w:rFonts w:cstheme="minorHAnsi"/>
                <w:sz w:val="20"/>
                <w:szCs w:val="20"/>
                <w:lang w:val="en-US" w:eastAsia="lt-LT"/>
              </w:rPr>
            </w:pPr>
            <w:r w:rsidRPr="00E16344">
              <w:rPr>
                <w:rFonts w:cstheme="minorHAnsi"/>
                <w:sz w:val="20"/>
                <w:szCs w:val="20"/>
                <w:lang w:val="en-US" w:eastAsia="lt-LT"/>
              </w:rPr>
              <w:t xml:space="preserve">8.3.1 - BAL NC Art. 22. </w:t>
            </w:r>
            <w:proofErr w:type="gramStart"/>
            <w:r w:rsidRPr="00E16344">
              <w:rPr>
                <w:rFonts w:cstheme="minorHAnsi"/>
                <w:sz w:val="20"/>
                <w:szCs w:val="20"/>
                <w:lang w:val="en-US" w:eastAsia="lt-LT"/>
              </w:rPr>
              <w:t>sets</w:t>
            </w:r>
            <w:proofErr w:type="gramEnd"/>
            <w:r w:rsidRPr="00E16344">
              <w:rPr>
                <w:rFonts w:cstheme="minorHAnsi"/>
                <w:sz w:val="20"/>
                <w:szCs w:val="20"/>
                <w:lang w:val="en-US" w:eastAsia="lt-LT"/>
              </w:rPr>
              <w:t xml:space="preserve"> the principle how MSP an MBP are calculated.</w:t>
            </w:r>
          </w:p>
          <w:p w14:paraId="6BCBFC2D" w14:textId="77777777" w:rsidR="00196B37" w:rsidRPr="00E16344" w:rsidRDefault="00196B37" w:rsidP="00A4324F">
            <w:pPr>
              <w:pStyle w:val="ListParagraph"/>
              <w:tabs>
                <w:tab w:val="left" w:pos="851"/>
              </w:tabs>
              <w:suppressAutoHyphens/>
              <w:spacing w:line="240" w:lineRule="auto"/>
              <w:jc w:val="both"/>
              <w:textAlignment w:val="baseline"/>
              <w:rPr>
                <w:rFonts w:cstheme="minorHAnsi"/>
                <w:sz w:val="20"/>
                <w:szCs w:val="20"/>
                <w:lang w:val="en-US" w:eastAsia="lt-LT"/>
              </w:rPr>
            </w:pPr>
            <w:r w:rsidRPr="00E16344">
              <w:rPr>
                <w:rFonts w:cstheme="minorHAnsi"/>
                <w:sz w:val="20"/>
                <w:szCs w:val="20"/>
                <w:lang w:val="en-US" w:eastAsia="lt-LT"/>
              </w:rPr>
              <w:t>Please adjust MSP and MBP definitions because they are not in line with a BAL NC Art. 22.</w:t>
            </w:r>
            <w:r w:rsidR="00672802" w:rsidRPr="00E16344">
              <w:rPr>
                <w:rFonts w:cstheme="minorHAnsi"/>
                <w:sz w:val="20"/>
                <w:szCs w:val="20"/>
                <w:lang w:val="en-US" w:eastAsia="lt-LT"/>
              </w:rPr>
              <w:t xml:space="preserve"> </w:t>
            </w:r>
            <w:r w:rsidRPr="00E16344">
              <w:rPr>
                <w:rFonts w:cstheme="minorHAnsi"/>
                <w:sz w:val="20"/>
                <w:szCs w:val="20"/>
                <w:lang w:val="en-US" w:eastAsia="lt-LT"/>
              </w:rPr>
              <w:t>Neutrality charge for balancing is a separate fee from the daily imbalance charge thus it should be calculated and published separately.</w:t>
            </w:r>
            <w:r w:rsidR="00672802" w:rsidRPr="00E16344">
              <w:rPr>
                <w:rFonts w:cstheme="minorHAnsi"/>
                <w:sz w:val="20"/>
                <w:szCs w:val="20"/>
                <w:lang w:val="en-US" w:eastAsia="lt-LT"/>
              </w:rPr>
              <w:t xml:space="preserve"> </w:t>
            </w:r>
            <w:r w:rsidRPr="00E16344">
              <w:rPr>
                <w:rFonts w:cstheme="minorHAnsi"/>
                <w:sz w:val="20"/>
                <w:szCs w:val="20"/>
                <w:lang w:val="en-US" w:eastAsia="lt-LT"/>
              </w:rPr>
              <w:t>MSP and MBP have to be based on the market fundamentals and not to any other additional components such as neutrality adjustment</w:t>
            </w:r>
            <w:r w:rsidR="00672802" w:rsidRPr="00E16344">
              <w:rPr>
                <w:rFonts w:cstheme="minorHAnsi"/>
                <w:sz w:val="20"/>
                <w:szCs w:val="20"/>
                <w:lang w:val="en-US" w:eastAsia="lt-LT"/>
              </w:rPr>
              <w:t xml:space="preserve">. </w:t>
            </w:r>
            <w:r w:rsidRPr="00E16344">
              <w:rPr>
                <w:rFonts w:cstheme="minorHAnsi"/>
                <w:sz w:val="20"/>
                <w:szCs w:val="20"/>
                <w:lang w:val="en-US" w:eastAsia="lt-LT"/>
              </w:rPr>
              <w:t>By including everything in one price such mechanism would mislea</w:t>
            </w:r>
            <w:r w:rsidR="00EB5976">
              <w:rPr>
                <w:rFonts w:cstheme="minorHAnsi"/>
                <w:sz w:val="20"/>
                <w:szCs w:val="20"/>
                <w:lang w:val="en-US" w:eastAsia="lt-LT"/>
              </w:rPr>
              <w:t>d market participants and could</w:t>
            </w:r>
            <w:r w:rsidRPr="00E16344">
              <w:rPr>
                <w:rFonts w:cstheme="minorHAnsi"/>
                <w:sz w:val="20"/>
                <w:szCs w:val="20"/>
                <w:lang w:val="en-US"/>
              </w:rPr>
              <w:t xml:space="preserve"> </w:t>
            </w:r>
            <w:r w:rsidRPr="00E16344">
              <w:rPr>
                <w:rFonts w:cstheme="minorHAnsi"/>
                <w:sz w:val="20"/>
                <w:szCs w:val="20"/>
                <w:lang w:val="en-US" w:eastAsia="lt-LT"/>
              </w:rPr>
              <w:t>allegedly cause breach of Regulation (EU) No 1227/2011 of the European Parliament and of the Council of 25 October 2011 on wholesale energy market integrity and transparency (REMIT).</w:t>
            </w:r>
            <w:r w:rsidR="00672802" w:rsidRPr="00E16344">
              <w:rPr>
                <w:rFonts w:cstheme="minorHAnsi"/>
                <w:sz w:val="20"/>
                <w:szCs w:val="20"/>
                <w:lang w:val="en-US" w:eastAsia="lt-LT"/>
              </w:rPr>
              <w:t xml:space="preserve"> </w:t>
            </w:r>
            <w:r w:rsidRPr="00E16344">
              <w:rPr>
                <w:rFonts w:cstheme="minorHAnsi"/>
                <w:sz w:val="20"/>
                <w:szCs w:val="20"/>
                <w:lang w:val="en-US" w:eastAsia="lt-LT"/>
              </w:rPr>
              <w:t>Also, these provisions are not in line with neutrality provisions BAL NC Art. 29-30 as well.</w:t>
            </w:r>
          </w:p>
          <w:p w14:paraId="0B964C94" w14:textId="77777777" w:rsidR="00672802" w:rsidRPr="00E16344" w:rsidRDefault="00196B37" w:rsidP="00A4324F">
            <w:pPr>
              <w:pStyle w:val="ListParagraph"/>
              <w:numPr>
                <w:ilvl w:val="0"/>
                <w:numId w:val="21"/>
              </w:numPr>
              <w:tabs>
                <w:tab w:val="left" w:pos="851"/>
              </w:tabs>
              <w:suppressAutoHyphens/>
              <w:spacing w:line="240" w:lineRule="auto"/>
              <w:jc w:val="both"/>
              <w:textAlignment w:val="baseline"/>
              <w:rPr>
                <w:rFonts w:cstheme="minorHAnsi"/>
                <w:sz w:val="20"/>
                <w:szCs w:val="20"/>
                <w:lang w:val="en-US" w:eastAsia="lt-LT"/>
              </w:rPr>
            </w:pPr>
            <w:r w:rsidRPr="00E16344">
              <w:rPr>
                <w:rFonts w:cstheme="minorHAnsi"/>
                <w:sz w:val="20"/>
                <w:szCs w:val="20"/>
                <w:lang w:val="en-US" w:eastAsia="lt-LT"/>
              </w:rPr>
              <w:t>8.3.3. In case it is impossible to determine either the MSP or the MBP as per article 8.3.1, the corresponding price shall be set equal to the corresponding price applying for the previous gas day (D-1) - Since, the current trading platform (Get Baltic) is not liquid we suggest evaluating case when there are no transactions on the Gas day D-1, D-2 and further, by adding D-N rule.</w:t>
            </w:r>
          </w:p>
          <w:p w14:paraId="2004718E" w14:textId="77777777" w:rsidR="00672802" w:rsidRPr="00E16344" w:rsidRDefault="00196B37" w:rsidP="00A4324F">
            <w:pPr>
              <w:pStyle w:val="ListParagraph"/>
              <w:numPr>
                <w:ilvl w:val="0"/>
                <w:numId w:val="21"/>
              </w:numPr>
              <w:tabs>
                <w:tab w:val="left" w:pos="851"/>
              </w:tabs>
              <w:suppressAutoHyphens/>
              <w:spacing w:line="240" w:lineRule="auto"/>
              <w:jc w:val="both"/>
              <w:textAlignment w:val="baseline"/>
              <w:rPr>
                <w:rFonts w:cstheme="minorHAnsi"/>
                <w:sz w:val="20"/>
                <w:szCs w:val="20"/>
                <w:lang w:val="en-US" w:eastAsia="lt-LT"/>
              </w:rPr>
            </w:pPr>
            <w:r w:rsidRPr="00E16344">
              <w:rPr>
                <w:rFonts w:cstheme="minorHAnsi"/>
                <w:sz w:val="20"/>
                <w:szCs w:val="20"/>
                <w:lang w:val="en-US" w:eastAsia="lt-LT"/>
              </w:rPr>
              <w:t>8.3.4. The MBP incentive factor and the MSP incentive factor shall be set as follows:</w:t>
            </w:r>
          </w:p>
          <w:p w14:paraId="6585195E" w14:textId="77777777" w:rsidR="00672802" w:rsidRPr="00E16344" w:rsidRDefault="00196B37" w:rsidP="00A4324F">
            <w:pPr>
              <w:pStyle w:val="ListParagraph"/>
              <w:tabs>
                <w:tab w:val="left" w:pos="851"/>
              </w:tabs>
              <w:suppressAutoHyphens/>
              <w:spacing w:line="240" w:lineRule="auto"/>
              <w:jc w:val="both"/>
              <w:textAlignment w:val="baseline"/>
              <w:rPr>
                <w:rFonts w:cstheme="minorHAnsi"/>
                <w:sz w:val="20"/>
                <w:szCs w:val="20"/>
                <w:lang w:val="en-US" w:eastAsia="lt-LT"/>
              </w:rPr>
            </w:pPr>
            <w:r w:rsidRPr="00E16344">
              <w:rPr>
                <w:rFonts w:cstheme="minorHAnsi"/>
                <w:sz w:val="20"/>
                <w:szCs w:val="20"/>
                <w:lang w:val="en-US" w:eastAsia="lt-LT"/>
              </w:rPr>
              <w:t xml:space="preserve">a) The MSP incentive factor may range between a value of 0.9 and 0.95; </w:t>
            </w:r>
          </w:p>
          <w:p w14:paraId="3E2B219C" w14:textId="77777777" w:rsidR="00672802" w:rsidRPr="00E16344" w:rsidRDefault="00196B37" w:rsidP="00A4324F">
            <w:pPr>
              <w:pStyle w:val="ListParagraph"/>
              <w:tabs>
                <w:tab w:val="left" w:pos="851"/>
              </w:tabs>
              <w:suppressAutoHyphens/>
              <w:spacing w:line="240" w:lineRule="auto"/>
              <w:jc w:val="both"/>
              <w:textAlignment w:val="baseline"/>
              <w:rPr>
                <w:rFonts w:cstheme="minorHAnsi"/>
                <w:sz w:val="20"/>
                <w:szCs w:val="20"/>
                <w:lang w:val="en-US" w:eastAsia="lt-LT"/>
              </w:rPr>
            </w:pPr>
            <w:r w:rsidRPr="00E16344">
              <w:rPr>
                <w:rFonts w:cstheme="minorHAnsi"/>
                <w:sz w:val="20"/>
                <w:szCs w:val="20"/>
                <w:lang w:val="en-US" w:eastAsia="lt-LT"/>
              </w:rPr>
              <w:t>b) The MBP incentive factor may range between a value of 1.05 and 1.1;</w:t>
            </w:r>
          </w:p>
          <w:p w14:paraId="17B53E2F" w14:textId="77777777" w:rsidR="00672802" w:rsidRPr="00E16344" w:rsidRDefault="00196B37" w:rsidP="00A4324F">
            <w:pPr>
              <w:pStyle w:val="ListParagraph"/>
              <w:tabs>
                <w:tab w:val="left" w:pos="851"/>
              </w:tabs>
              <w:suppressAutoHyphens/>
              <w:spacing w:line="240" w:lineRule="auto"/>
              <w:jc w:val="both"/>
              <w:textAlignment w:val="baseline"/>
              <w:rPr>
                <w:rFonts w:cstheme="minorHAnsi"/>
                <w:sz w:val="20"/>
                <w:szCs w:val="20"/>
                <w:lang w:val="en-US" w:eastAsia="lt-LT"/>
              </w:rPr>
            </w:pPr>
            <w:r w:rsidRPr="00E16344">
              <w:rPr>
                <w:rFonts w:cstheme="minorHAnsi"/>
                <w:sz w:val="20"/>
                <w:szCs w:val="20"/>
                <w:lang w:val="en-US" w:eastAsia="lt-LT"/>
              </w:rPr>
              <w:t>c) Both factors may be readjusted by the TSO, with a minimum notice time of three (3) calendar days before the first gas day, for which the adjusted factors shall come into effect.</w:t>
            </w:r>
          </w:p>
          <w:p w14:paraId="1F1F42C1" w14:textId="77777777" w:rsidR="00672802" w:rsidRPr="00E16344" w:rsidRDefault="00196B37" w:rsidP="00A4324F">
            <w:pPr>
              <w:pStyle w:val="ListParagraph"/>
              <w:tabs>
                <w:tab w:val="left" w:pos="851"/>
              </w:tabs>
              <w:suppressAutoHyphens/>
              <w:spacing w:line="240" w:lineRule="auto"/>
              <w:jc w:val="both"/>
              <w:textAlignment w:val="baseline"/>
              <w:rPr>
                <w:rFonts w:cstheme="minorHAnsi"/>
                <w:sz w:val="20"/>
                <w:szCs w:val="20"/>
                <w:lang w:val="en-US"/>
              </w:rPr>
            </w:pPr>
            <w:r w:rsidRPr="00E16344">
              <w:rPr>
                <w:rFonts w:cstheme="minorHAnsi"/>
                <w:sz w:val="20"/>
                <w:szCs w:val="20"/>
                <w:lang w:val="en-US" w:eastAsia="lt-LT"/>
              </w:rPr>
              <w:t xml:space="preserve">- </w:t>
            </w:r>
            <w:r w:rsidRPr="00E16344">
              <w:rPr>
                <w:rFonts w:cstheme="minorHAnsi"/>
                <w:sz w:val="20"/>
                <w:szCs w:val="20"/>
                <w:lang w:val="en-US"/>
              </w:rPr>
              <w:t>BAL NC Art. 20:„</w:t>
            </w:r>
            <w:r w:rsidRPr="00E16344">
              <w:rPr>
                <w:rFonts w:cstheme="minorHAnsi"/>
                <w:i/>
                <w:sz w:val="20"/>
                <w:szCs w:val="20"/>
                <w:lang w:val="en-US"/>
              </w:rPr>
              <w:t xml:space="preserve">1. The transmission system operator shall submit the daily imbalance charge calculation methodology to be applied in its balancing zone to the </w:t>
            </w:r>
            <w:r w:rsidRPr="00E16344">
              <w:rPr>
                <w:rFonts w:cstheme="minorHAnsi"/>
                <w:b/>
                <w:i/>
                <w:sz w:val="20"/>
                <w:szCs w:val="20"/>
                <w:lang w:val="en-US"/>
              </w:rPr>
              <w:t>national regulatory authority for approval</w:t>
            </w:r>
            <w:proofErr w:type="gramStart"/>
            <w:r w:rsidRPr="00E16344">
              <w:rPr>
                <w:rFonts w:cstheme="minorHAnsi"/>
                <w:i/>
                <w:sz w:val="20"/>
                <w:szCs w:val="20"/>
                <w:lang w:val="en-US"/>
              </w:rPr>
              <w:t>.</w:t>
            </w:r>
            <w:r w:rsidRPr="00E16344">
              <w:rPr>
                <w:rFonts w:cstheme="minorHAnsi"/>
                <w:sz w:val="20"/>
                <w:szCs w:val="20"/>
                <w:lang w:val="en-US"/>
              </w:rPr>
              <w:t>“</w:t>
            </w:r>
            <w:proofErr w:type="gramEnd"/>
          </w:p>
          <w:p w14:paraId="0D50AA00" w14:textId="77777777" w:rsidR="00196B37" w:rsidRPr="00E16344" w:rsidRDefault="00196B37" w:rsidP="00A4324F">
            <w:pPr>
              <w:pStyle w:val="ListParagraph"/>
              <w:tabs>
                <w:tab w:val="left" w:pos="851"/>
              </w:tabs>
              <w:suppressAutoHyphens/>
              <w:spacing w:line="240" w:lineRule="auto"/>
              <w:jc w:val="both"/>
              <w:textAlignment w:val="baseline"/>
              <w:rPr>
                <w:rFonts w:cstheme="minorHAnsi"/>
                <w:sz w:val="20"/>
                <w:szCs w:val="20"/>
                <w:lang w:val="en-US"/>
              </w:rPr>
            </w:pPr>
            <w:r w:rsidRPr="00E16344">
              <w:rPr>
                <w:rFonts w:cstheme="minorHAnsi"/>
                <w:sz w:val="20"/>
                <w:szCs w:val="20"/>
                <w:lang w:val="en-US"/>
              </w:rPr>
              <w:lastRenderedPageBreak/>
              <w:t>BAL NC Art. 22:</w:t>
            </w:r>
            <w:r w:rsidR="00672802" w:rsidRPr="00E16344">
              <w:rPr>
                <w:rFonts w:cstheme="minorHAnsi"/>
                <w:sz w:val="20"/>
                <w:szCs w:val="20"/>
                <w:lang w:val="en-US"/>
              </w:rPr>
              <w:t xml:space="preserve"> </w:t>
            </w:r>
            <w:r w:rsidRPr="00E16344">
              <w:rPr>
                <w:rFonts w:cstheme="minorHAnsi"/>
                <w:sz w:val="20"/>
                <w:szCs w:val="20"/>
                <w:lang w:val="en-US"/>
              </w:rPr>
              <w:t>“</w:t>
            </w:r>
            <w:r w:rsidRPr="00E16344">
              <w:rPr>
                <w:rFonts w:cstheme="minorHAnsi"/>
                <w:i/>
                <w:sz w:val="20"/>
                <w:szCs w:val="20"/>
                <w:lang w:val="en-US"/>
              </w:rPr>
              <w:t>6. The small adjustment shall:</w:t>
            </w:r>
          </w:p>
          <w:p w14:paraId="6A968B34" w14:textId="77777777" w:rsidR="00196B37" w:rsidRPr="00E16344" w:rsidRDefault="00196B37" w:rsidP="00A4324F">
            <w:pPr>
              <w:pStyle w:val="CommentText"/>
              <w:ind w:left="708"/>
              <w:jc w:val="both"/>
              <w:rPr>
                <w:rFonts w:asciiTheme="minorHAnsi" w:hAnsiTheme="minorHAnsi" w:cstheme="minorHAnsi"/>
                <w:i/>
                <w:lang w:val="en-US"/>
              </w:rPr>
            </w:pPr>
            <w:r w:rsidRPr="00E16344">
              <w:rPr>
                <w:rFonts w:asciiTheme="minorHAnsi" w:hAnsiTheme="minorHAnsi" w:cstheme="minorHAnsi"/>
                <w:i/>
                <w:lang w:val="en-US"/>
              </w:rPr>
              <w:t xml:space="preserve">(a) </w:t>
            </w:r>
            <w:proofErr w:type="spellStart"/>
            <w:r w:rsidRPr="00E16344">
              <w:rPr>
                <w:rFonts w:asciiTheme="minorHAnsi" w:hAnsiTheme="minorHAnsi" w:cstheme="minorHAnsi"/>
                <w:i/>
                <w:lang w:val="en-US"/>
              </w:rPr>
              <w:t>incentivise</w:t>
            </w:r>
            <w:proofErr w:type="spellEnd"/>
            <w:r w:rsidRPr="00E16344">
              <w:rPr>
                <w:rFonts w:asciiTheme="minorHAnsi" w:hAnsiTheme="minorHAnsi" w:cstheme="minorHAnsi"/>
                <w:i/>
                <w:lang w:val="en-US"/>
              </w:rPr>
              <w:t xml:space="preserve"> network users to balance their inputs and off-takes;</w:t>
            </w:r>
          </w:p>
          <w:p w14:paraId="2C67357D" w14:textId="77777777" w:rsidR="00196B37" w:rsidRPr="00E16344" w:rsidRDefault="00196B37" w:rsidP="00A4324F">
            <w:pPr>
              <w:pStyle w:val="CommentText"/>
              <w:ind w:left="708"/>
              <w:jc w:val="both"/>
              <w:rPr>
                <w:rFonts w:asciiTheme="minorHAnsi" w:hAnsiTheme="minorHAnsi" w:cstheme="minorHAnsi"/>
                <w:i/>
                <w:lang w:val="en-US"/>
              </w:rPr>
            </w:pPr>
            <w:r w:rsidRPr="00E16344">
              <w:rPr>
                <w:rFonts w:asciiTheme="minorHAnsi" w:hAnsiTheme="minorHAnsi" w:cstheme="minorHAnsi"/>
                <w:i/>
                <w:lang w:val="en-US"/>
              </w:rPr>
              <w:t>(b) be designed and applied in a non-discriminatory manner in order to:</w:t>
            </w:r>
          </w:p>
          <w:p w14:paraId="0E7BCFF5" w14:textId="77777777" w:rsidR="00196B37" w:rsidRPr="00E16344" w:rsidRDefault="00196B37" w:rsidP="00A4324F">
            <w:pPr>
              <w:pStyle w:val="CommentText"/>
              <w:ind w:left="708"/>
              <w:jc w:val="both"/>
              <w:rPr>
                <w:rFonts w:asciiTheme="minorHAnsi" w:hAnsiTheme="minorHAnsi" w:cstheme="minorHAnsi"/>
                <w:i/>
                <w:lang w:val="en-US"/>
              </w:rPr>
            </w:pPr>
            <w:r w:rsidRPr="00E16344">
              <w:rPr>
                <w:rFonts w:asciiTheme="minorHAnsi" w:hAnsiTheme="minorHAnsi" w:cstheme="minorHAnsi"/>
                <w:i/>
                <w:lang w:val="en-US"/>
              </w:rPr>
              <w:t>(</w:t>
            </w:r>
            <w:proofErr w:type="spellStart"/>
            <w:r w:rsidRPr="00E16344">
              <w:rPr>
                <w:rFonts w:asciiTheme="minorHAnsi" w:hAnsiTheme="minorHAnsi" w:cstheme="minorHAnsi"/>
                <w:i/>
                <w:lang w:val="en-US"/>
              </w:rPr>
              <w:t>i</w:t>
            </w:r>
            <w:proofErr w:type="spellEnd"/>
            <w:r w:rsidRPr="00E16344">
              <w:rPr>
                <w:rFonts w:asciiTheme="minorHAnsi" w:hAnsiTheme="minorHAnsi" w:cstheme="minorHAnsi"/>
                <w:i/>
                <w:lang w:val="en-US"/>
              </w:rPr>
              <w:t>) not deter market entry;</w:t>
            </w:r>
          </w:p>
          <w:p w14:paraId="3EE5B1C9" w14:textId="77777777" w:rsidR="00196B37" w:rsidRPr="00E16344" w:rsidRDefault="00196B37" w:rsidP="00A4324F">
            <w:pPr>
              <w:pStyle w:val="CommentText"/>
              <w:ind w:left="708"/>
              <w:jc w:val="both"/>
              <w:rPr>
                <w:rFonts w:asciiTheme="minorHAnsi" w:hAnsiTheme="minorHAnsi" w:cstheme="minorHAnsi"/>
                <w:i/>
                <w:lang w:val="en-US"/>
              </w:rPr>
            </w:pPr>
            <w:r w:rsidRPr="00E16344">
              <w:rPr>
                <w:rFonts w:asciiTheme="minorHAnsi" w:hAnsiTheme="minorHAnsi" w:cstheme="minorHAnsi"/>
                <w:i/>
                <w:lang w:val="en-US"/>
              </w:rPr>
              <w:t>(ii) not impede the development of competitive markets;</w:t>
            </w:r>
          </w:p>
          <w:p w14:paraId="0CE24650" w14:textId="77777777" w:rsidR="00196B37" w:rsidRPr="00E16344" w:rsidRDefault="00196B37" w:rsidP="00A4324F">
            <w:pPr>
              <w:pStyle w:val="CommentText"/>
              <w:ind w:left="708"/>
              <w:jc w:val="both"/>
              <w:rPr>
                <w:rFonts w:asciiTheme="minorHAnsi" w:hAnsiTheme="minorHAnsi" w:cstheme="minorHAnsi"/>
                <w:i/>
                <w:lang w:val="en-US"/>
              </w:rPr>
            </w:pPr>
            <w:r w:rsidRPr="00E16344">
              <w:rPr>
                <w:rFonts w:asciiTheme="minorHAnsi" w:hAnsiTheme="minorHAnsi" w:cstheme="minorHAnsi"/>
                <w:i/>
                <w:lang w:val="en-US"/>
              </w:rPr>
              <w:t>(c) not have a detrimental impact on cross-border trade;</w:t>
            </w:r>
          </w:p>
          <w:p w14:paraId="5FB019D1" w14:textId="77777777" w:rsidR="00196B37" w:rsidRPr="00E16344" w:rsidRDefault="00196B37" w:rsidP="00A4324F">
            <w:pPr>
              <w:pStyle w:val="CommentText"/>
              <w:ind w:left="708"/>
              <w:jc w:val="both"/>
              <w:rPr>
                <w:rFonts w:asciiTheme="minorHAnsi" w:hAnsiTheme="minorHAnsi" w:cstheme="minorHAnsi"/>
                <w:i/>
                <w:lang w:val="en-US"/>
              </w:rPr>
            </w:pPr>
            <w:r w:rsidRPr="00E16344">
              <w:rPr>
                <w:rFonts w:asciiTheme="minorHAnsi" w:hAnsiTheme="minorHAnsi" w:cstheme="minorHAnsi"/>
                <w:i/>
                <w:lang w:val="en-US"/>
              </w:rPr>
              <w:t xml:space="preserve">(d) </w:t>
            </w:r>
            <w:proofErr w:type="gramStart"/>
            <w:r w:rsidRPr="00E16344">
              <w:rPr>
                <w:rFonts w:asciiTheme="minorHAnsi" w:hAnsiTheme="minorHAnsi" w:cstheme="minorHAnsi"/>
                <w:i/>
                <w:lang w:val="en-US"/>
              </w:rPr>
              <w:t>not</w:t>
            </w:r>
            <w:proofErr w:type="gramEnd"/>
            <w:r w:rsidRPr="00E16344">
              <w:rPr>
                <w:rFonts w:asciiTheme="minorHAnsi" w:hAnsiTheme="minorHAnsi" w:cstheme="minorHAnsi"/>
                <w:i/>
                <w:lang w:val="en-US"/>
              </w:rPr>
              <w:t xml:space="preserve"> result in network users’ excessive financial exposure to daily imbalance charges.</w:t>
            </w:r>
          </w:p>
          <w:p w14:paraId="01DB4DF5" w14:textId="77777777" w:rsidR="00196B37" w:rsidRPr="00E16344" w:rsidRDefault="00196B37" w:rsidP="00A4324F">
            <w:pPr>
              <w:pStyle w:val="CommentText"/>
              <w:ind w:left="708"/>
              <w:jc w:val="both"/>
              <w:rPr>
                <w:rFonts w:asciiTheme="minorHAnsi" w:hAnsiTheme="minorHAnsi" w:cstheme="minorHAnsi"/>
                <w:lang w:val="en-US"/>
              </w:rPr>
            </w:pPr>
            <w:r w:rsidRPr="00E16344">
              <w:rPr>
                <w:rFonts w:asciiTheme="minorHAnsi" w:hAnsiTheme="minorHAnsi" w:cstheme="minorHAnsi"/>
                <w:i/>
                <w:lang w:val="en-US"/>
              </w:rPr>
              <w:t>7.   The value of the small adjustment may differ for determining the marginal buy price and the marginal sell price. The value of the small adjustment shall not exceed ten percent of the weighted average price unless the transmission system operator concerned can justify otherwise to the national regulatory authority and have it approved pursuant to Article 20</w:t>
            </w:r>
            <w:r w:rsidRPr="00E16344">
              <w:rPr>
                <w:rFonts w:asciiTheme="minorHAnsi" w:hAnsiTheme="minorHAnsi" w:cstheme="minorHAnsi"/>
                <w:lang w:val="en-US"/>
              </w:rPr>
              <w:t>.“</w:t>
            </w:r>
          </w:p>
          <w:p w14:paraId="554A5A1D" w14:textId="77777777" w:rsidR="00196B37" w:rsidRPr="00E16344" w:rsidRDefault="00196B37" w:rsidP="00A4324F">
            <w:pPr>
              <w:pStyle w:val="CommentText"/>
              <w:ind w:left="708"/>
              <w:jc w:val="both"/>
              <w:rPr>
                <w:rFonts w:asciiTheme="minorHAnsi" w:hAnsiTheme="minorHAnsi" w:cstheme="minorHAnsi"/>
                <w:lang w:val="en-US"/>
              </w:rPr>
            </w:pPr>
            <w:r w:rsidRPr="00E16344">
              <w:rPr>
                <w:rFonts w:asciiTheme="minorHAnsi" w:hAnsiTheme="minorHAnsi" w:cstheme="minorHAnsi"/>
                <w:lang w:val="en-US"/>
              </w:rPr>
              <w:t xml:space="preserve">Considering the above we suppose that the value of the proposed incentive factor („small adjustment“) should be assessed with the same level of scrutiny as the entire imbalance charge methodology. Thus, it should be approved by the NRAs. Also, this rule is not transparent since market participants are not aware what is concrete value of the incentive </w:t>
            </w:r>
            <w:proofErr w:type="gramStart"/>
            <w:r w:rsidRPr="00E16344">
              <w:rPr>
                <w:rFonts w:asciiTheme="minorHAnsi" w:hAnsiTheme="minorHAnsi" w:cstheme="minorHAnsi"/>
                <w:lang w:val="en-US"/>
              </w:rPr>
              <w:t>factor, thus that</w:t>
            </w:r>
            <w:proofErr w:type="gramEnd"/>
            <w:r w:rsidRPr="00E16344">
              <w:rPr>
                <w:rFonts w:asciiTheme="minorHAnsi" w:hAnsiTheme="minorHAnsi" w:cstheme="minorHAnsi"/>
                <w:lang w:val="en-US"/>
              </w:rPr>
              <w:t xml:space="preserve"> could impede trading.</w:t>
            </w:r>
          </w:p>
          <w:p w14:paraId="206FE787" w14:textId="77777777" w:rsidR="00196B37" w:rsidRPr="00E16344" w:rsidRDefault="00196B37" w:rsidP="00A4324F">
            <w:pPr>
              <w:pStyle w:val="CommentText"/>
              <w:ind w:left="708"/>
              <w:jc w:val="both"/>
              <w:rPr>
                <w:rFonts w:asciiTheme="minorHAnsi" w:hAnsiTheme="minorHAnsi" w:cstheme="minorHAnsi"/>
                <w:lang w:val="en-US"/>
              </w:rPr>
            </w:pPr>
            <w:r w:rsidRPr="00E16344">
              <w:rPr>
                <w:rFonts w:asciiTheme="minorHAnsi" w:hAnsiTheme="minorHAnsi" w:cstheme="minorHAnsi"/>
                <w:lang w:val="en-US"/>
              </w:rPr>
              <w:t>We suggest defining constant, concrete incentive factor value unless justified otherwise why there is a need for a dynamic value.</w:t>
            </w:r>
          </w:p>
          <w:p w14:paraId="0011DA1F" w14:textId="77777777" w:rsidR="00196B37" w:rsidRPr="00E16344" w:rsidRDefault="00196B37" w:rsidP="00A4324F">
            <w:pPr>
              <w:pStyle w:val="CommentText"/>
              <w:jc w:val="both"/>
              <w:rPr>
                <w:rFonts w:asciiTheme="minorHAnsi" w:hAnsiTheme="minorHAnsi" w:cstheme="minorHAnsi"/>
                <w:lang w:val="en-US"/>
              </w:rPr>
            </w:pPr>
          </w:p>
          <w:p w14:paraId="47E993F4" w14:textId="77777777" w:rsidR="00196B37" w:rsidRPr="00E16344" w:rsidRDefault="00196B37" w:rsidP="00A4324F">
            <w:pPr>
              <w:tabs>
                <w:tab w:val="left" w:pos="851"/>
              </w:tabs>
              <w:suppressAutoHyphens/>
              <w:ind w:left="708"/>
              <w:jc w:val="both"/>
              <w:textAlignment w:val="baseline"/>
              <w:rPr>
                <w:rFonts w:cstheme="minorHAnsi"/>
                <w:sz w:val="20"/>
                <w:szCs w:val="20"/>
                <w:lang w:val="en-US"/>
              </w:rPr>
            </w:pPr>
            <w:r w:rsidRPr="00E16344">
              <w:rPr>
                <w:rFonts w:cstheme="minorHAnsi"/>
                <w:sz w:val="20"/>
                <w:szCs w:val="20"/>
                <w:lang w:val="en-US"/>
              </w:rPr>
              <w:t>Please provide evidence why 5 percent dynamic interval is provided. The calculation formula of the small adjustment value derivation should be included in Rules. The formula should involve all cost drivers and be cost reflective. We consider that when network users entering into contract should know all the provisions.</w:t>
            </w:r>
          </w:p>
          <w:p w14:paraId="66DDD66D" w14:textId="77777777" w:rsidR="00196B37" w:rsidRPr="00E16344" w:rsidRDefault="00196B37" w:rsidP="00A4324F">
            <w:pPr>
              <w:tabs>
                <w:tab w:val="left" w:pos="851"/>
              </w:tabs>
              <w:suppressAutoHyphens/>
              <w:jc w:val="both"/>
              <w:textAlignment w:val="baseline"/>
              <w:rPr>
                <w:rFonts w:cstheme="minorHAnsi"/>
                <w:sz w:val="20"/>
                <w:szCs w:val="20"/>
                <w:lang w:val="en-US"/>
              </w:rPr>
            </w:pPr>
          </w:p>
          <w:p w14:paraId="6777F274" w14:textId="77777777" w:rsidR="00672802" w:rsidRPr="00E16344" w:rsidRDefault="00196B37" w:rsidP="00A4324F">
            <w:pPr>
              <w:pStyle w:val="CommentText"/>
              <w:numPr>
                <w:ilvl w:val="0"/>
                <w:numId w:val="21"/>
              </w:numPr>
              <w:jc w:val="both"/>
              <w:rPr>
                <w:rFonts w:asciiTheme="minorHAnsi" w:hAnsiTheme="minorHAnsi" w:cstheme="minorHAnsi"/>
                <w:lang w:val="en-US"/>
              </w:rPr>
            </w:pPr>
            <w:r w:rsidRPr="00E16344">
              <w:rPr>
                <w:rFonts w:asciiTheme="minorHAnsi" w:hAnsiTheme="minorHAnsi" w:cstheme="minorHAnsi"/>
                <w:lang w:val="en-US" w:eastAsia="lt-LT"/>
              </w:rPr>
              <w:t>8.3.4</w:t>
            </w:r>
            <w:proofErr w:type="gramStart"/>
            <w:r w:rsidRPr="00E16344">
              <w:rPr>
                <w:rFonts w:asciiTheme="minorHAnsi" w:hAnsiTheme="minorHAnsi" w:cstheme="minorHAnsi"/>
                <w:lang w:val="en-US" w:eastAsia="lt-LT"/>
              </w:rPr>
              <w:t>. c)</w:t>
            </w:r>
            <w:proofErr w:type="gramEnd"/>
            <w:r w:rsidRPr="00E16344">
              <w:rPr>
                <w:rFonts w:asciiTheme="minorHAnsi" w:hAnsiTheme="minorHAnsi" w:cstheme="minorHAnsi"/>
                <w:lang w:val="en-US" w:eastAsia="lt-LT"/>
              </w:rPr>
              <w:t xml:space="preserve"> &lt;…&gt; </w:t>
            </w:r>
            <w:r w:rsidRPr="00E16344">
              <w:rPr>
                <w:rFonts w:asciiTheme="minorHAnsi" w:hAnsiTheme="minorHAnsi" w:cstheme="minorHAnsi"/>
                <w:lang w:val="en-US"/>
              </w:rPr>
              <w:t>Also, 3 days deadline have to be justified or other transparent rule of information publishing could be defined in the rules. E. g. TSO should announce new value no later than 30 days, before its application by receiving written NRA consent, value can be changed no more often than 6 months, etc.</w:t>
            </w:r>
          </w:p>
          <w:p w14:paraId="7F9D4AB1" w14:textId="77777777" w:rsidR="00196B37" w:rsidRPr="00E16344" w:rsidRDefault="00196B37" w:rsidP="00A4324F">
            <w:pPr>
              <w:pStyle w:val="CommentText"/>
              <w:numPr>
                <w:ilvl w:val="0"/>
                <w:numId w:val="21"/>
              </w:numPr>
              <w:jc w:val="both"/>
              <w:rPr>
                <w:rFonts w:asciiTheme="minorHAnsi" w:hAnsiTheme="minorHAnsi" w:cstheme="minorHAnsi"/>
                <w:lang w:val="en-US"/>
              </w:rPr>
            </w:pPr>
            <w:r w:rsidRPr="00E16344">
              <w:rPr>
                <w:rFonts w:asciiTheme="minorHAnsi" w:hAnsiTheme="minorHAnsi" w:cstheme="minorHAnsi"/>
                <w:lang w:val="en-US" w:eastAsia="lt-LT"/>
              </w:rPr>
              <w:t>8.3.6. Neutrality adjustment shall be set taking into account any:</w:t>
            </w:r>
          </w:p>
          <w:p w14:paraId="5047607C" w14:textId="77777777" w:rsidR="00196B37" w:rsidRPr="00E16344" w:rsidRDefault="00196B37" w:rsidP="00A4324F">
            <w:pPr>
              <w:tabs>
                <w:tab w:val="left" w:pos="851"/>
                <w:tab w:val="center" w:pos="2443"/>
              </w:tabs>
              <w:suppressAutoHyphens/>
              <w:ind w:left="708"/>
              <w:jc w:val="both"/>
              <w:textAlignment w:val="baseline"/>
              <w:rPr>
                <w:rFonts w:cstheme="minorHAnsi"/>
                <w:sz w:val="20"/>
                <w:szCs w:val="20"/>
                <w:lang w:val="en-US" w:eastAsia="lt-LT"/>
              </w:rPr>
            </w:pPr>
            <w:r w:rsidRPr="00E16344">
              <w:rPr>
                <w:rFonts w:cstheme="minorHAnsi"/>
                <w:sz w:val="20"/>
                <w:szCs w:val="20"/>
                <w:lang w:val="en-US" w:eastAsia="lt-LT"/>
              </w:rPr>
              <w:t>a) Costs and revenues of TSO arising from daily imbalance charges and within day charges ;</w:t>
            </w:r>
          </w:p>
          <w:p w14:paraId="5D4D5C5F" w14:textId="77777777" w:rsidR="00196B37" w:rsidRPr="00E16344" w:rsidRDefault="00196B37" w:rsidP="00A4324F">
            <w:pPr>
              <w:tabs>
                <w:tab w:val="left" w:pos="851"/>
                <w:tab w:val="center" w:pos="2443"/>
              </w:tabs>
              <w:suppressAutoHyphens/>
              <w:ind w:left="708"/>
              <w:jc w:val="both"/>
              <w:textAlignment w:val="baseline"/>
              <w:rPr>
                <w:rFonts w:cstheme="minorHAnsi"/>
                <w:sz w:val="20"/>
                <w:szCs w:val="20"/>
                <w:lang w:val="en-US" w:eastAsia="lt-LT"/>
              </w:rPr>
            </w:pPr>
            <w:r w:rsidRPr="00E16344">
              <w:rPr>
                <w:rFonts w:cstheme="minorHAnsi"/>
                <w:sz w:val="20"/>
                <w:szCs w:val="20"/>
                <w:lang w:val="en-US" w:eastAsia="lt-LT"/>
              </w:rPr>
              <w:t>b) Costs and revenues of TSO arising from the balancing actions;</w:t>
            </w:r>
          </w:p>
          <w:p w14:paraId="7BDD94DB" w14:textId="77777777" w:rsidR="00196B37" w:rsidRPr="00E16344" w:rsidRDefault="00196B37" w:rsidP="00A4324F">
            <w:pPr>
              <w:tabs>
                <w:tab w:val="left" w:pos="851"/>
                <w:tab w:val="center" w:pos="2443"/>
              </w:tabs>
              <w:suppressAutoHyphens/>
              <w:ind w:left="708"/>
              <w:jc w:val="both"/>
              <w:textAlignment w:val="baseline"/>
              <w:rPr>
                <w:rFonts w:cstheme="minorHAnsi"/>
                <w:sz w:val="20"/>
                <w:szCs w:val="20"/>
                <w:lang w:val="en-US" w:eastAsia="lt-LT"/>
              </w:rPr>
            </w:pPr>
            <w:r w:rsidRPr="00E16344">
              <w:rPr>
                <w:rFonts w:cstheme="minorHAnsi"/>
                <w:sz w:val="20"/>
                <w:szCs w:val="20"/>
                <w:lang w:val="en-US" w:eastAsia="lt-LT"/>
              </w:rPr>
              <w:t>c) Administrative costs of TSO arising from the balancing actions;</w:t>
            </w:r>
          </w:p>
          <w:p w14:paraId="7EA4886C" w14:textId="77777777" w:rsidR="00196B37" w:rsidRPr="00E16344" w:rsidRDefault="00196B37" w:rsidP="00A4324F">
            <w:pPr>
              <w:tabs>
                <w:tab w:val="left" w:pos="851"/>
              </w:tabs>
              <w:suppressAutoHyphens/>
              <w:ind w:left="708"/>
              <w:jc w:val="both"/>
              <w:textAlignment w:val="baseline"/>
              <w:rPr>
                <w:rFonts w:cstheme="minorHAnsi"/>
                <w:sz w:val="20"/>
                <w:szCs w:val="20"/>
                <w:lang w:val="en-US" w:eastAsia="lt-LT"/>
              </w:rPr>
            </w:pPr>
            <w:r w:rsidRPr="00E16344">
              <w:rPr>
                <w:rFonts w:cstheme="minorHAnsi"/>
                <w:sz w:val="20"/>
                <w:szCs w:val="20"/>
                <w:lang w:val="en-US" w:eastAsia="lt-LT"/>
              </w:rPr>
              <w:t>d) Other costs and revenues of TSO related to the balancing activities undertaken by the TSO.</w:t>
            </w:r>
          </w:p>
          <w:p w14:paraId="0912829C" w14:textId="77777777" w:rsidR="00196B37" w:rsidRPr="00E16344" w:rsidRDefault="00196B37" w:rsidP="00A4324F">
            <w:pPr>
              <w:tabs>
                <w:tab w:val="left" w:pos="851"/>
              </w:tabs>
              <w:suppressAutoHyphens/>
              <w:ind w:left="708"/>
              <w:jc w:val="both"/>
              <w:textAlignment w:val="baseline"/>
              <w:rPr>
                <w:rFonts w:cstheme="minorHAnsi"/>
                <w:sz w:val="20"/>
                <w:szCs w:val="20"/>
                <w:lang w:val="en-US" w:eastAsia="lt-LT"/>
              </w:rPr>
            </w:pPr>
          </w:p>
          <w:p w14:paraId="26295964" w14:textId="77777777" w:rsidR="00196B37" w:rsidRPr="00E16344" w:rsidRDefault="00196B37" w:rsidP="00A4324F">
            <w:pPr>
              <w:suppressAutoHyphens/>
              <w:ind w:left="742"/>
              <w:jc w:val="both"/>
              <w:rPr>
                <w:rFonts w:cstheme="minorHAnsi"/>
                <w:sz w:val="20"/>
                <w:szCs w:val="20"/>
                <w:lang w:val="en-US" w:eastAsia="lt-LT"/>
              </w:rPr>
            </w:pPr>
            <w:r w:rsidRPr="00E16344">
              <w:rPr>
                <w:rFonts w:cstheme="minorHAnsi"/>
                <w:sz w:val="20"/>
                <w:szCs w:val="20"/>
                <w:lang w:val="en-US" w:eastAsia="lt-LT"/>
              </w:rPr>
              <w:t>BAL NC Art. 30:</w:t>
            </w:r>
          </w:p>
          <w:p w14:paraId="1B570615" w14:textId="77777777" w:rsidR="00196B37" w:rsidRPr="00E16344" w:rsidRDefault="00196B37" w:rsidP="00A4324F">
            <w:pPr>
              <w:suppressAutoHyphens/>
              <w:ind w:left="742"/>
              <w:jc w:val="both"/>
              <w:rPr>
                <w:rFonts w:cstheme="minorHAnsi"/>
                <w:sz w:val="20"/>
                <w:szCs w:val="20"/>
                <w:lang w:val="en-US" w:eastAsia="lt-LT"/>
              </w:rPr>
            </w:pPr>
            <w:r w:rsidRPr="00E16344">
              <w:rPr>
                <w:rFonts w:cstheme="minorHAnsi"/>
                <w:sz w:val="20"/>
                <w:szCs w:val="20"/>
                <w:lang w:val="en-US" w:eastAsia="lt-LT"/>
              </w:rPr>
              <w:lastRenderedPageBreak/>
              <w:t>„</w:t>
            </w:r>
            <w:r w:rsidRPr="00E16344">
              <w:rPr>
                <w:rFonts w:cstheme="minorHAnsi"/>
                <w:i/>
                <w:sz w:val="20"/>
                <w:szCs w:val="20"/>
                <w:lang w:val="en-US" w:eastAsia="lt-LT"/>
              </w:rPr>
              <w:t>2. The national regulatory authority shall set or approve and publish the methodology for the calculation of the neutrality charges for balancing, including their apportionment amongst network users and credit risk management rules.“</w:t>
            </w:r>
          </w:p>
          <w:p w14:paraId="7491024E" w14:textId="77777777" w:rsidR="00672802" w:rsidRPr="00E16344" w:rsidRDefault="00196B37" w:rsidP="00A4324F">
            <w:pPr>
              <w:tabs>
                <w:tab w:val="left" w:pos="851"/>
              </w:tabs>
              <w:suppressAutoHyphens/>
              <w:ind w:left="708"/>
              <w:jc w:val="both"/>
              <w:textAlignment w:val="baseline"/>
              <w:rPr>
                <w:rFonts w:cstheme="minorHAnsi"/>
                <w:sz w:val="20"/>
                <w:szCs w:val="20"/>
                <w:lang w:val="en-US" w:eastAsia="lt-LT"/>
              </w:rPr>
            </w:pPr>
            <w:r w:rsidRPr="00E16344">
              <w:rPr>
                <w:rFonts w:cstheme="minorHAnsi"/>
                <w:sz w:val="20"/>
                <w:szCs w:val="20"/>
                <w:lang w:val="en-US" w:eastAsia="lt-LT"/>
              </w:rPr>
              <w:t>We consider that it is up to NRA to determine what cost can be included into neutrality fee. Thus, the principles should be defined in the NRA pricing (e. g. revenue cap calculation) methodology.</w:t>
            </w:r>
          </w:p>
          <w:p w14:paraId="7A1270C1" w14:textId="77777777" w:rsidR="0043174E" w:rsidRDefault="00196B37" w:rsidP="00A4324F">
            <w:pPr>
              <w:pStyle w:val="ListParagraph"/>
              <w:numPr>
                <w:ilvl w:val="0"/>
                <w:numId w:val="21"/>
              </w:numPr>
              <w:tabs>
                <w:tab w:val="left" w:pos="851"/>
              </w:tabs>
              <w:suppressAutoHyphens/>
              <w:spacing w:line="240" w:lineRule="auto"/>
              <w:jc w:val="both"/>
              <w:textAlignment w:val="baseline"/>
              <w:rPr>
                <w:rFonts w:cstheme="minorHAnsi"/>
                <w:sz w:val="20"/>
                <w:szCs w:val="20"/>
                <w:lang w:val="en-US" w:eastAsia="lt-LT"/>
              </w:rPr>
            </w:pPr>
            <w:r w:rsidRPr="00E16344">
              <w:rPr>
                <w:rFonts w:cstheme="minorHAnsi"/>
                <w:sz w:val="20"/>
                <w:szCs w:val="20"/>
                <w:lang w:val="en-US" w:eastAsia="lt-LT"/>
              </w:rPr>
              <w:t xml:space="preserve">a) Costs and revenues of TSO arising from daily imbalance charges </w:t>
            </w:r>
            <w:r w:rsidRPr="00E16344">
              <w:rPr>
                <w:rFonts w:cstheme="minorHAnsi"/>
                <w:b/>
                <w:sz w:val="20"/>
                <w:szCs w:val="20"/>
                <w:lang w:val="en-US" w:eastAsia="lt-LT"/>
              </w:rPr>
              <w:t>and within day charges</w:t>
            </w:r>
            <w:r w:rsidRPr="00E16344">
              <w:rPr>
                <w:rFonts w:cstheme="minorHAnsi"/>
                <w:sz w:val="20"/>
                <w:szCs w:val="20"/>
                <w:lang w:val="en-US" w:eastAsia="lt-LT"/>
              </w:rPr>
              <w:t xml:space="preserve"> - </w:t>
            </w:r>
            <w:r w:rsidRPr="00E16344">
              <w:rPr>
                <w:rFonts w:cstheme="minorHAnsi"/>
                <w:sz w:val="20"/>
                <w:szCs w:val="20"/>
                <w:lang w:val="en-US"/>
              </w:rPr>
              <w:t>Within day obligations are not applied, thus there is no need</w:t>
            </w:r>
            <w:r w:rsidR="00C83420">
              <w:rPr>
                <w:rFonts w:cstheme="minorHAnsi"/>
                <w:sz w:val="20"/>
                <w:szCs w:val="20"/>
                <w:lang w:val="en-US"/>
              </w:rPr>
              <w:t xml:space="preserve"> to define it in this provision.</w:t>
            </w:r>
          </w:p>
          <w:p w14:paraId="307C9739" w14:textId="77777777" w:rsidR="00C83420" w:rsidRPr="00C83420" w:rsidRDefault="00C83420" w:rsidP="00A4324F">
            <w:pPr>
              <w:pStyle w:val="ListParagraph"/>
              <w:tabs>
                <w:tab w:val="left" w:pos="851"/>
              </w:tabs>
              <w:suppressAutoHyphens/>
              <w:spacing w:line="240" w:lineRule="auto"/>
              <w:jc w:val="both"/>
              <w:textAlignment w:val="baseline"/>
              <w:rPr>
                <w:rFonts w:cstheme="minorHAnsi"/>
                <w:sz w:val="20"/>
                <w:szCs w:val="20"/>
                <w:lang w:val="en-US" w:eastAsia="lt-LT"/>
              </w:rPr>
            </w:pPr>
          </w:p>
        </w:tc>
        <w:tc>
          <w:tcPr>
            <w:tcW w:w="5069" w:type="dxa"/>
          </w:tcPr>
          <w:p w14:paraId="36C229F8" w14:textId="77777777" w:rsidR="0043174E" w:rsidRPr="00E16344" w:rsidRDefault="00F13E17" w:rsidP="00A4324F">
            <w:pPr>
              <w:pStyle w:val="ListParagraph"/>
              <w:numPr>
                <w:ilvl w:val="0"/>
                <w:numId w:val="34"/>
              </w:numPr>
              <w:spacing w:line="240" w:lineRule="auto"/>
              <w:jc w:val="both"/>
              <w:rPr>
                <w:rFonts w:cstheme="minorHAnsi"/>
                <w:sz w:val="20"/>
                <w:szCs w:val="20"/>
              </w:rPr>
            </w:pPr>
            <w:r>
              <w:rPr>
                <w:rFonts w:cstheme="minorHAnsi"/>
                <w:sz w:val="20"/>
                <w:szCs w:val="20"/>
              </w:rPr>
              <w:lastRenderedPageBreak/>
              <w:t>Proposal taken into account, w</w:t>
            </w:r>
            <w:r w:rsidR="00EB5976">
              <w:rPr>
                <w:rFonts w:cstheme="minorHAnsi"/>
                <w:sz w:val="20"/>
                <w:szCs w:val="20"/>
              </w:rPr>
              <w:t>ill be specified in the rules</w:t>
            </w:r>
          </w:p>
          <w:p w14:paraId="51D0D4C7" w14:textId="77777777" w:rsidR="00523DAC" w:rsidRPr="0042566B" w:rsidRDefault="00C95733" w:rsidP="0042566B">
            <w:pPr>
              <w:pStyle w:val="ListParagraph"/>
              <w:numPr>
                <w:ilvl w:val="0"/>
                <w:numId w:val="34"/>
              </w:numPr>
              <w:spacing w:line="240" w:lineRule="auto"/>
              <w:jc w:val="both"/>
              <w:rPr>
                <w:rFonts w:cstheme="minorHAnsi"/>
                <w:sz w:val="20"/>
                <w:szCs w:val="20"/>
              </w:rPr>
            </w:pPr>
            <w:r w:rsidRPr="0042566B">
              <w:rPr>
                <w:rFonts w:cstheme="minorHAnsi"/>
                <w:sz w:val="20"/>
                <w:szCs w:val="20"/>
              </w:rPr>
              <w:t xml:space="preserve">Taken into account, </w:t>
            </w:r>
            <w:r w:rsidR="00F13E17" w:rsidRPr="0042566B">
              <w:rPr>
                <w:rFonts w:cstheme="minorHAnsi"/>
                <w:sz w:val="20"/>
                <w:szCs w:val="20"/>
              </w:rPr>
              <w:t>marginal sell and buy prices</w:t>
            </w:r>
            <w:r w:rsidRPr="0042566B">
              <w:rPr>
                <w:rFonts w:cstheme="minorHAnsi"/>
                <w:sz w:val="20"/>
                <w:szCs w:val="20"/>
              </w:rPr>
              <w:t xml:space="preserve"> amended according to Balancing Network Code</w:t>
            </w:r>
          </w:p>
          <w:p w14:paraId="537FAD49" w14:textId="77777777" w:rsidR="00523DAC" w:rsidRPr="0042566B" w:rsidRDefault="00EB5976" w:rsidP="0042566B">
            <w:pPr>
              <w:pStyle w:val="ListParagraph"/>
              <w:numPr>
                <w:ilvl w:val="0"/>
                <w:numId w:val="34"/>
              </w:numPr>
              <w:spacing w:line="240" w:lineRule="auto"/>
              <w:jc w:val="both"/>
              <w:rPr>
                <w:rFonts w:cstheme="minorHAnsi"/>
                <w:sz w:val="20"/>
                <w:szCs w:val="20"/>
              </w:rPr>
            </w:pPr>
            <w:r w:rsidRPr="0042566B">
              <w:rPr>
                <w:rFonts w:cstheme="minorHAnsi"/>
                <w:sz w:val="20"/>
                <w:szCs w:val="20"/>
              </w:rPr>
              <w:t>Currently proposed methodology allows to determine MSP/MBP even if there were no trades on the previous day, as MSP/MBP were still determined on the previous day – the MSP/MBP of the respective day shall therefore</w:t>
            </w:r>
            <w:r w:rsidR="00761880" w:rsidRPr="0042566B">
              <w:rPr>
                <w:rFonts w:cstheme="minorHAnsi"/>
                <w:sz w:val="20"/>
                <w:szCs w:val="20"/>
              </w:rPr>
              <w:t xml:space="preserve"> for example</w:t>
            </w:r>
            <w:r w:rsidRPr="0042566B">
              <w:rPr>
                <w:rFonts w:cstheme="minorHAnsi"/>
                <w:sz w:val="20"/>
                <w:szCs w:val="20"/>
              </w:rPr>
              <w:t xml:space="preserve"> be the trading platform price of D-2. </w:t>
            </w:r>
          </w:p>
          <w:p w14:paraId="64279EF0" w14:textId="0C4C2EAE" w:rsidR="00523DAC" w:rsidRPr="0042566B" w:rsidRDefault="0002182A" w:rsidP="0042566B">
            <w:pPr>
              <w:pStyle w:val="ListParagraph"/>
              <w:numPr>
                <w:ilvl w:val="0"/>
                <w:numId w:val="34"/>
              </w:numPr>
              <w:spacing w:line="240" w:lineRule="auto"/>
              <w:jc w:val="both"/>
              <w:rPr>
                <w:rFonts w:cstheme="minorHAnsi"/>
                <w:sz w:val="20"/>
                <w:szCs w:val="20"/>
              </w:rPr>
            </w:pPr>
            <w:r w:rsidRPr="0042566B">
              <w:rPr>
                <w:rFonts w:cstheme="minorHAnsi"/>
                <w:sz w:val="20"/>
                <w:szCs w:val="20"/>
              </w:rPr>
              <w:t>5% dynam</w:t>
            </w:r>
            <w:r w:rsidR="0042566B" w:rsidRPr="0042566B">
              <w:rPr>
                <w:rFonts w:cstheme="minorHAnsi"/>
                <w:sz w:val="20"/>
                <w:szCs w:val="20"/>
              </w:rPr>
              <w:t>i</w:t>
            </w:r>
            <w:r w:rsidRPr="0042566B">
              <w:rPr>
                <w:rFonts w:cstheme="minorHAnsi"/>
                <w:sz w:val="20"/>
                <w:szCs w:val="20"/>
              </w:rPr>
              <w:t xml:space="preserve">c approach is </w:t>
            </w:r>
            <w:r w:rsidR="00480619" w:rsidRPr="0042566B">
              <w:rPr>
                <w:rFonts w:cstheme="minorHAnsi"/>
                <w:sz w:val="20"/>
                <w:szCs w:val="20"/>
              </w:rPr>
              <w:t>foreseen to enable the TSOs to flexibly react to the performance of the balancing mechanism, and apply higher values after larger deviations or stressed situations have been observed or are expected, and vice versa.</w:t>
            </w:r>
          </w:p>
          <w:p w14:paraId="5F0939B9" w14:textId="65980945" w:rsidR="00761880" w:rsidRPr="0042566B" w:rsidRDefault="00956CC4" w:rsidP="0042566B">
            <w:pPr>
              <w:pStyle w:val="ListParagraph"/>
              <w:numPr>
                <w:ilvl w:val="0"/>
                <w:numId w:val="34"/>
              </w:numPr>
              <w:spacing w:line="240" w:lineRule="auto"/>
              <w:jc w:val="both"/>
              <w:rPr>
                <w:rFonts w:cstheme="minorHAnsi"/>
                <w:sz w:val="20"/>
                <w:szCs w:val="20"/>
              </w:rPr>
            </w:pPr>
            <w:r w:rsidRPr="0042566B">
              <w:rPr>
                <w:rFonts w:cstheme="minorHAnsi"/>
                <w:sz w:val="20"/>
                <w:szCs w:val="20"/>
              </w:rPr>
              <w:t>The goal of s</w:t>
            </w:r>
            <w:r w:rsidR="00480619" w:rsidRPr="0042566B">
              <w:rPr>
                <w:rFonts w:cstheme="minorHAnsi"/>
                <w:sz w:val="20"/>
                <w:szCs w:val="20"/>
              </w:rPr>
              <w:t xml:space="preserve">mall adjustment is </w:t>
            </w:r>
            <w:r w:rsidRPr="0042566B">
              <w:rPr>
                <w:rFonts w:cstheme="minorHAnsi"/>
                <w:sz w:val="20"/>
                <w:szCs w:val="20"/>
              </w:rPr>
              <w:t>to incentivse network users to balance their portfolios and not</w:t>
            </w:r>
            <w:r w:rsidR="006D1890" w:rsidRPr="0042566B">
              <w:rPr>
                <w:rFonts w:cstheme="minorHAnsi"/>
                <w:sz w:val="20"/>
                <w:szCs w:val="20"/>
              </w:rPr>
              <w:t xml:space="preserve"> solely</w:t>
            </w:r>
            <w:r w:rsidRPr="0042566B">
              <w:rPr>
                <w:rFonts w:cstheme="minorHAnsi"/>
                <w:sz w:val="20"/>
                <w:szCs w:val="20"/>
              </w:rPr>
              <w:t xml:space="preserve"> to rely on</w:t>
            </w:r>
            <w:r w:rsidR="00480619" w:rsidRPr="0042566B">
              <w:rPr>
                <w:rFonts w:cstheme="minorHAnsi"/>
                <w:sz w:val="20"/>
                <w:szCs w:val="20"/>
              </w:rPr>
              <w:t xml:space="preserve"> TSO</w:t>
            </w:r>
            <w:r w:rsidR="006D1890" w:rsidRPr="0042566B">
              <w:rPr>
                <w:rFonts w:cstheme="minorHAnsi"/>
                <w:sz w:val="20"/>
                <w:szCs w:val="20"/>
              </w:rPr>
              <w:t>s</w:t>
            </w:r>
            <w:r w:rsidRPr="0042566B">
              <w:rPr>
                <w:rFonts w:cstheme="minorHAnsi"/>
                <w:sz w:val="20"/>
                <w:szCs w:val="20"/>
              </w:rPr>
              <w:t xml:space="preserve"> as last resort buyer or supplier. Depending on market conditions, </w:t>
            </w:r>
            <w:r w:rsidR="006D1890" w:rsidRPr="0042566B">
              <w:rPr>
                <w:rFonts w:cstheme="minorHAnsi"/>
                <w:sz w:val="20"/>
                <w:szCs w:val="20"/>
              </w:rPr>
              <w:t xml:space="preserve">30 days  or 6 month intervals could be too long reaction to market behaviour and can result in losses for market participants or TSOs. </w:t>
            </w:r>
            <w:r w:rsidR="00480619" w:rsidRPr="0042566B">
              <w:rPr>
                <w:rFonts w:cstheme="minorHAnsi"/>
                <w:sz w:val="20"/>
                <w:szCs w:val="20"/>
              </w:rPr>
              <w:t xml:space="preserve"> </w:t>
            </w:r>
          </w:p>
          <w:p w14:paraId="5B7264A2" w14:textId="77777777" w:rsidR="0042566B" w:rsidRPr="0042566B" w:rsidRDefault="0042566B" w:rsidP="0042566B">
            <w:pPr>
              <w:pStyle w:val="ListParagraph"/>
              <w:numPr>
                <w:ilvl w:val="0"/>
                <w:numId w:val="34"/>
              </w:numPr>
              <w:spacing w:line="240" w:lineRule="auto"/>
              <w:jc w:val="both"/>
              <w:rPr>
                <w:rFonts w:cstheme="minorHAnsi"/>
                <w:sz w:val="20"/>
                <w:szCs w:val="20"/>
              </w:rPr>
            </w:pPr>
            <w:r w:rsidRPr="0042566B">
              <w:rPr>
                <w:rFonts w:cstheme="minorHAnsi"/>
                <w:sz w:val="20"/>
                <w:szCs w:val="20"/>
                <w:lang w:val="en-US"/>
              </w:rPr>
              <w:t xml:space="preserve">As balancing rules will be approved by NRA, all methodologies included in the balancing rules will be NRA approved. Methodology of neutrality cannot be </w:t>
            </w:r>
            <w:r w:rsidRPr="0042566B">
              <w:rPr>
                <w:rFonts w:cstheme="minorHAnsi"/>
                <w:sz w:val="20"/>
                <w:szCs w:val="20"/>
                <w:lang w:val="en-US"/>
              </w:rPr>
              <w:lastRenderedPageBreak/>
              <w:t>included in NRA pricing methodology, as it is not related to revenue. Neutrality charge is mechanism to ensure that the transmission system operator shall not gain or lose by the payment and receipt of all the activities undertaken by the transmission system operator to fulfil the obligations set out BAL NC.</w:t>
            </w:r>
            <w:r w:rsidRPr="0042566B" w:rsidDel="0042566B">
              <w:rPr>
                <w:rFonts w:cstheme="minorHAnsi"/>
                <w:sz w:val="20"/>
                <w:szCs w:val="20"/>
              </w:rPr>
              <w:t xml:space="preserve"> </w:t>
            </w:r>
          </w:p>
          <w:p w14:paraId="74D0D06E" w14:textId="42CD5CEA" w:rsidR="00523DAC" w:rsidRPr="0042566B" w:rsidRDefault="006D1890" w:rsidP="0042566B">
            <w:pPr>
              <w:pStyle w:val="ListParagraph"/>
              <w:numPr>
                <w:ilvl w:val="0"/>
                <w:numId w:val="34"/>
              </w:numPr>
              <w:spacing w:line="240" w:lineRule="auto"/>
              <w:jc w:val="both"/>
              <w:rPr>
                <w:rFonts w:cstheme="minorHAnsi"/>
                <w:sz w:val="20"/>
                <w:szCs w:val="20"/>
              </w:rPr>
            </w:pPr>
            <w:r w:rsidRPr="0042566B">
              <w:rPr>
                <w:rFonts w:cstheme="minorHAnsi"/>
                <w:sz w:val="20"/>
                <w:szCs w:val="20"/>
              </w:rPr>
              <w:t xml:space="preserve">Proposal accepted. </w:t>
            </w:r>
            <w:r w:rsidR="00507BCC" w:rsidRPr="0042566B">
              <w:rPr>
                <w:rFonts w:cstheme="minorHAnsi"/>
                <w:sz w:val="20"/>
                <w:szCs w:val="20"/>
              </w:rPr>
              <w:t>Within day charges will be removed from this provision.</w:t>
            </w:r>
          </w:p>
        </w:tc>
      </w:tr>
      <w:tr w:rsidR="00990A7A" w:rsidRPr="00E16344" w14:paraId="384E52C9" w14:textId="77777777" w:rsidTr="00076CD0">
        <w:tc>
          <w:tcPr>
            <w:tcW w:w="8926" w:type="dxa"/>
            <w:shd w:val="clear" w:color="auto" w:fill="auto"/>
          </w:tcPr>
          <w:p w14:paraId="66FF35A4" w14:textId="1238473C" w:rsidR="00990A7A" w:rsidRPr="00076CD0" w:rsidRDefault="000F67E6" w:rsidP="00A4324F">
            <w:pPr>
              <w:jc w:val="both"/>
              <w:rPr>
                <w:rFonts w:cstheme="minorHAnsi"/>
                <w:sz w:val="20"/>
                <w:szCs w:val="20"/>
                <w:lang w:val="en-US" w:eastAsia="lt-LT"/>
              </w:rPr>
            </w:pPr>
            <w:r>
              <w:rPr>
                <w:rFonts w:cstheme="minorHAnsi"/>
                <w:sz w:val="20"/>
                <w:szCs w:val="20"/>
                <w:lang w:val="en-US" w:eastAsia="lt-LT"/>
              </w:rPr>
              <w:lastRenderedPageBreak/>
              <w:t>Stakeholder 6</w:t>
            </w:r>
          </w:p>
          <w:p w14:paraId="67B9BCE0" w14:textId="77777777" w:rsidR="00990A7A" w:rsidRPr="00076CD0" w:rsidRDefault="001F2632" w:rsidP="00A4324F">
            <w:pPr>
              <w:jc w:val="both"/>
              <w:rPr>
                <w:rFonts w:cstheme="minorHAnsi"/>
                <w:sz w:val="20"/>
                <w:szCs w:val="20"/>
                <w:lang w:val="en-US" w:eastAsia="lt-LT"/>
              </w:rPr>
            </w:pPr>
            <w:r w:rsidRPr="00076CD0">
              <w:rPr>
                <w:rFonts w:cstheme="minorHAnsi"/>
                <w:sz w:val="20"/>
                <w:szCs w:val="20"/>
                <w:lang w:val="en-US" w:eastAsia="lt-LT"/>
              </w:rPr>
              <w:t>Balancing gas neutrality component is set to 0-10%, which means that 10% of the gas price might be for example 25*0</w:t>
            </w:r>
            <w:proofErr w:type="gramStart"/>
            <w:r w:rsidRPr="00076CD0">
              <w:rPr>
                <w:rFonts w:cstheme="minorHAnsi"/>
                <w:sz w:val="20"/>
                <w:szCs w:val="20"/>
                <w:lang w:val="en-US" w:eastAsia="lt-LT"/>
              </w:rPr>
              <w:t>,1</w:t>
            </w:r>
            <w:proofErr w:type="gramEnd"/>
            <w:r w:rsidRPr="00076CD0">
              <w:rPr>
                <w:rFonts w:cstheme="minorHAnsi"/>
                <w:sz w:val="20"/>
                <w:szCs w:val="20"/>
                <w:lang w:val="en-US" w:eastAsia="lt-LT"/>
              </w:rPr>
              <w:t xml:space="preserve"> = 2,5 EUR. If the network user has to pay the TSO 2</w:t>
            </w:r>
            <w:proofErr w:type="gramStart"/>
            <w:r w:rsidRPr="00076CD0">
              <w:rPr>
                <w:rFonts w:cstheme="minorHAnsi"/>
                <w:sz w:val="20"/>
                <w:szCs w:val="20"/>
                <w:lang w:val="en-US" w:eastAsia="lt-LT"/>
              </w:rPr>
              <w:t>,5</w:t>
            </w:r>
            <w:proofErr w:type="gramEnd"/>
            <w:r w:rsidRPr="00076CD0">
              <w:rPr>
                <w:rFonts w:cstheme="minorHAnsi"/>
                <w:sz w:val="20"/>
                <w:szCs w:val="20"/>
                <w:lang w:val="en-US" w:eastAsia="lt-LT"/>
              </w:rPr>
              <w:t xml:space="preserve"> euros when buying balancing gas, the cost is too big for system balancing. Please justify the price 0-10% price calculation methodology with calculation examples.</w:t>
            </w:r>
          </w:p>
        </w:tc>
        <w:tc>
          <w:tcPr>
            <w:tcW w:w="5069" w:type="dxa"/>
            <w:shd w:val="clear" w:color="auto" w:fill="auto"/>
          </w:tcPr>
          <w:p w14:paraId="5B8FD795" w14:textId="10EFC72C" w:rsidR="00990A7A" w:rsidRPr="00076CD0" w:rsidRDefault="00C95733" w:rsidP="00076CD0">
            <w:pPr>
              <w:jc w:val="both"/>
              <w:rPr>
                <w:rFonts w:cstheme="minorHAnsi"/>
                <w:sz w:val="20"/>
                <w:szCs w:val="20"/>
              </w:rPr>
            </w:pPr>
            <w:r w:rsidRPr="00076CD0">
              <w:rPr>
                <w:rFonts w:cstheme="minorHAnsi"/>
                <w:sz w:val="20"/>
                <w:szCs w:val="20"/>
              </w:rPr>
              <w:t>Neutrality adjustment removed from rules in response to earlier comment.</w:t>
            </w:r>
            <w:r w:rsidR="00076CD0" w:rsidRPr="00076CD0">
              <w:rPr>
                <w:rFonts w:cstheme="minorHAnsi"/>
                <w:sz w:val="20"/>
                <w:szCs w:val="20"/>
              </w:rPr>
              <w:t xml:space="preserve"> </w:t>
            </w:r>
          </w:p>
        </w:tc>
      </w:tr>
      <w:tr w:rsidR="00C644DF" w:rsidRPr="00E16344" w14:paraId="0E3B1F46" w14:textId="77777777" w:rsidTr="00C644DF">
        <w:tc>
          <w:tcPr>
            <w:tcW w:w="13995" w:type="dxa"/>
            <w:gridSpan w:val="2"/>
            <w:shd w:val="clear" w:color="auto" w:fill="D0CECE" w:themeFill="background2" w:themeFillShade="E6"/>
            <w:vAlign w:val="center"/>
          </w:tcPr>
          <w:p w14:paraId="2FCAB2D3" w14:textId="77777777" w:rsidR="00C644DF" w:rsidRPr="00E16344" w:rsidRDefault="00C644DF" w:rsidP="00A4324F">
            <w:pPr>
              <w:pStyle w:val="Heading2"/>
              <w:jc w:val="both"/>
              <w:outlineLvl w:val="1"/>
            </w:pPr>
            <w:r w:rsidRPr="00E16344">
              <w:t>Reporting and Clearing of Daily Imbalance Charges</w:t>
            </w:r>
          </w:p>
        </w:tc>
      </w:tr>
      <w:tr w:rsidR="00C644DF" w:rsidRPr="00E16344" w14:paraId="42997FE9" w14:textId="77777777" w:rsidTr="00C644DF">
        <w:tc>
          <w:tcPr>
            <w:tcW w:w="8926" w:type="dxa"/>
          </w:tcPr>
          <w:p w14:paraId="0D2B7302" w14:textId="72F2317C" w:rsidR="00C644DF" w:rsidRPr="00E16344" w:rsidRDefault="00E16344" w:rsidP="00A4324F">
            <w:pPr>
              <w:jc w:val="both"/>
              <w:rPr>
                <w:rFonts w:cstheme="minorHAnsi"/>
                <w:sz w:val="20"/>
                <w:szCs w:val="20"/>
              </w:rPr>
            </w:pPr>
            <w:r w:rsidRPr="00E16344">
              <w:rPr>
                <w:rFonts w:cstheme="minorHAnsi"/>
                <w:sz w:val="20"/>
                <w:szCs w:val="20"/>
              </w:rPr>
              <w:t xml:space="preserve">Stakeholder 4 </w:t>
            </w:r>
          </w:p>
          <w:p w14:paraId="56E7DE81" w14:textId="77777777" w:rsidR="00C644DF" w:rsidRPr="00E16344" w:rsidRDefault="00C644DF" w:rsidP="00A4324F">
            <w:pPr>
              <w:jc w:val="both"/>
              <w:rPr>
                <w:rFonts w:eastAsia="Times New Roman" w:cstheme="minorHAnsi"/>
                <w:sz w:val="20"/>
                <w:szCs w:val="20"/>
                <w:lang w:val="en-GB" w:eastAsia="en-GB"/>
              </w:rPr>
            </w:pPr>
            <w:r w:rsidRPr="00E16344">
              <w:rPr>
                <w:rFonts w:eastAsia="Times New Roman" w:cstheme="minorHAnsi"/>
                <w:sz w:val="20"/>
                <w:szCs w:val="20"/>
                <w:lang w:val="en-GB" w:eastAsia="en-GB"/>
              </w:rPr>
              <w:t xml:space="preserve">Par. 9.6 states about final monthly clearing. In our opinion, if there are any adjustments comparing to initial monthly clearing, TSO shall not use any penalties/factors in charging NU with additional services provided. It is not fault of NU and complicated recalculations would be difficult to control. </w:t>
            </w:r>
          </w:p>
          <w:p w14:paraId="184FDF58" w14:textId="77777777" w:rsidR="00C644DF" w:rsidRPr="00E16344" w:rsidRDefault="00C644DF" w:rsidP="00A4324F">
            <w:pPr>
              <w:jc w:val="both"/>
              <w:rPr>
                <w:rFonts w:eastAsia="Times New Roman" w:cstheme="minorHAnsi"/>
                <w:sz w:val="20"/>
                <w:szCs w:val="20"/>
                <w:lang w:val="en-GB" w:eastAsia="en-GB"/>
              </w:rPr>
            </w:pPr>
            <w:r w:rsidRPr="00E16344">
              <w:rPr>
                <w:rFonts w:eastAsia="Times New Roman" w:cstheme="minorHAnsi"/>
                <w:sz w:val="20"/>
                <w:szCs w:val="20"/>
                <w:lang w:val="en-GB" w:eastAsia="en-GB"/>
              </w:rPr>
              <w:t>In addition, if adjustment brings reduction in volumes transmitted for NU, TSO shall compensate for such services (for which NU paid during initial clearing but didn’t actually used according to final clearing).</w:t>
            </w:r>
          </w:p>
          <w:p w14:paraId="4B37FCB3" w14:textId="77777777" w:rsidR="00990A7A" w:rsidRPr="00E16344" w:rsidRDefault="00990A7A" w:rsidP="00A4324F">
            <w:pPr>
              <w:jc w:val="both"/>
              <w:rPr>
                <w:rFonts w:cstheme="minorHAnsi"/>
                <w:sz w:val="20"/>
                <w:szCs w:val="20"/>
              </w:rPr>
            </w:pPr>
          </w:p>
        </w:tc>
        <w:tc>
          <w:tcPr>
            <w:tcW w:w="5069" w:type="dxa"/>
          </w:tcPr>
          <w:p w14:paraId="3DE62EAD" w14:textId="77777777" w:rsidR="00C644DF" w:rsidRPr="00E16344" w:rsidRDefault="004D0E06" w:rsidP="00A4324F">
            <w:pPr>
              <w:jc w:val="both"/>
              <w:rPr>
                <w:rFonts w:cstheme="minorHAnsi"/>
                <w:sz w:val="20"/>
                <w:szCs w:val="20"/>
              </w:rPr>
            </w:pPr>
            <w:r>
              <w:rPr>
                <w:rFonts w:cstheme="minorHAnsi"/>
                <w:sz w:val="20"/>
                <w:szCs w:val="20"/>
              </w:rPr>
              <w:t>If the DSO corrects their data or there are any other changes in the initial settlement, the imbalance volumes will be recalculated (M+3) – in case the volumes are reduced, the TSO will compensate to the NU, in case the volumes are increased, the NU will compensate to the TSO.</w:t>
            </w:r>
            <w:r w:rsidR="00C92F66">
              <w:rPr>
                <w:rFonts w:cstheme="minorHAnsi"/>
                <w:sz w:val="20"/>
                <w:szCs w:val="20"/>
              </w:rPr>
              <w:t xml:space="preserve"> The final settlement assures that the NU is invoiced for the correct imbalance amounts.</w:t>
            </w:r>
            <w:r>
              <w:rPr>
                <w:rFonts w:cstheme="minorHAnsi"/>
                <w:sz w:val="20"/>
                <w:szCs w:val="20"/>
              </w:rPr>
              <w:t xml:space="preserve"> </w:t>
            </w:r>
          </w:p>
        </w:tc>
      </w:tr>
      <w:tr w:rsidR="00C644DF" w:rsidRPr="00E16344" w14:paraId="6E892C5B" w14:textId="77777777" w:rsidTr="00C644DF">
        <w:tc>
          <w:tcPr>
            <w:tcW w:w="13995" w:type="dxa"/>
            <w:gridSpan w:val="2"/>
            <w:shd w:val="clear" w:color="auto" w:fill="D0CECE" w:themeFill="background2" w:themeFillShade="E6"/>
            <w:vAlign w:val="center"/>
          </w:tcPr>
          <w:p w14:paraId="15CCD80D" w14:textId="77777777" w:rsidR="00C644DF" w:rsidRPr="00E16344" w:rsidRDefault="00C644DF" w:rsidP="00A4324F">
            <w:pPr>
              <w:pStyle w:val="Heading2"/>
              <w:jc w:val="both"/>
              <w:outlineLvl w:val="1"/>
            </w:pPr>
            <w:r w:rsidRPr="00E16344">
              <w:t xml:space="preserve">Operational balancing </w:t>
            </w:r>
          </w:p>
        </w:tc>
      </w:tr>
      <w:tr w:rsidR="00C644DF" w:rsidRPr="00E16344" w14:paraId="55D5C0CA" w14:textId="77777777" w:rsidTr="00C644DF">
        <w:tc>
          <w:tcPr>
            <w:tcW w:w="8926" w:type="dxa"/>
          </w:tcPr>
          <w:p w14:paraId="1F77A3C2" w14:textId="77777777" w:rsidR="0043174E" w:rsidRPr="00E16344" w:rsidRDefault="0043174E" w:rsidP="00A4324F">
            <w:pPr>
              <w:jc w:val="both"/>
              <w:rPr>
                <w:rFonts w:cstheme="minorHAnsi"/>
                <w:sz w:val="20"/>
                <w:szCs w:val="20"/>
              </w:rPr>
            </w:pPr>
          </w:p>
        </w:tc>
        <w:tc>
          <w:tcPr>
            <w:tcW w:w="5069" w:type="dxa"/>
          </w:tcPr>
          <w:p w14:paraId="4BD21754" w14:textId="77777777" w:rsidR="00C644DF" w:rsidRPr="00E16344" w:rsidRDefault="00C644DF" w:rsidP="00A4324F">
            <w:pPr>
              <w:jc w:val="both"/>
              <w:rPr>
                <w:rFonts w:cstheme="minorHAnsi"/>
                <w:sz w:val="20"/>
                <w:szCs w:val="20"/>
              </w:rPr>
            </w:pPr>
          </w:p>
        </w:tc>
      </w:tr>
      <w:tr w:rsidR="00C644DF" w:rsidRPr="00E16344" w14:paraId="54F013BD" w14:textId="77777777" w:rsidTr="00C644DF">
        <w:tc>
          <w:tcPr>
            <w:tcW w:w="13995" w:type="dxa"/>
            <w:gridSpan w:val="2"/>
            <w:shd w:val="clear" w:color="auto" w:fill="D0CECE" w:themeFill="background2" w:themeFillShade="E6"/>
            <w:vAlign w:val="center"/>
          </w:tcPr>
          <w:p w14:paraId="0451E5F8" w14:textId="77777777" w:rsidR="00C644DF" w:rsidRPr="00E16344" w:rsidRDefault="00C644DF" w:rsidP="00A4324F">
            <w:pPr>
              <w:pStyle w:val="Heading2"/>
              <w:jc w:val="both"/>
              <w:outlineLvl w:val="1"/>
            </w:pPr>
            <w:r w:rsidRPr="00E16344">
              <w:t>Invoicing and payments</w:t>
            </w:r>
          </w:p>
        </w:tc>
      </w:tr>
      <w:tr w:rsidR="00C644DF" w:rsidRPr="00E16344" w14:paraId="22C6FE5B" w14:textId="77777777" w:rsidTr="00C644DF">
        <w:tc>
          <w:tcPr>
            <w:tcW w:w="8926" w:type="dxa"/>
          </w:tcPr>
          <w:p w14:paraId="19321FCA" w14:textId="14EFCA07" w:rsidR="00C644DF" w:rsidRPr="00E16344" w:rsidRDefault="00E16344" w:rsidP="00A4324F">
            <w:pPr>
              <w:jc w:val="both"/>
              <w:rPr>
                <w:rFonts w:eastAsia="Times New Roman" w:cstheme="minorHAnsi"/>
                <w:sz w:val="20"/>
                <w:szCs w:val="20"/>
                <w:lang w:val="en-GB" w:eastAsia="en-GB"/>
              </w:rPr>
            </w:pPr>
            <w:r w:rsidRPr="00E16344">
              <w:rPr>
                <w:rFonts w:eastAsia="Times New Roman" w:cstheme="minorHAnsi"/>
                <w:sz w:val="20"/>
                <w:szCs w:val="20"/>
                <w:lang w:val="en-GB" w:eastAsia="en-GB"/>
              </w:rPr>
              <w:t xml:space="preserve">Stakeholder 4 </w:t>
            </w:r>
          </w:p>
          <w:p w14:paraId="32FA51F7" w14:textId="77777777" w:rsidR="00C644DF" w:rsidRPr="00E16344" w:rsidRDefault="00C644DF" w:rsidP="00A4324F">
            <w:pPr>
              <w:jc w:val="both"/>
              <w:rPr>
                <w:rFonts w:cstheme="minorHAnsi"/>
                <w:sz w:val="20"/>
                <w:szCs w:val="20"/>
              </w:rPr>
            </w:pPr>
            <w:r w:rsidRPr="00E16344">
              <w:rPr>
                <w:rFonts w:eastAsia="Times New Roman" w:cstheme="minorHAnsi"/>
                <w:sz w:val="20"/>
                <w:szCs w:val="20"/>
                <w:lang w:val="en-GB" w:eastAsia="en-GB"/>
              </w:rPr>
              <w:t>For financial reporting reasons we would see a huge advantage to receive invoices earlier than the 10th of the month. Every day earlier would be a great support.</w:t>
            </w:r>
          </w:p>
        </w:tc>
        <w:tc>
          <w:tcPr>
            <w:tcW w:w="5069" w:type="dxa"/>
          </w:tcPr>
          <w:p w14:paraId="48273271" w14:textId="77777777" w:rsidR="00C644DF" w:rsidRPr="00E16344" w:rsidRDefault="00D90004" w:rsidP="00A4324F">
            <w:pPr>
              <w:jc w:val="both"/>
              <w:rPr>
                <w:rFonts w:cstheme="minorHAnsi"/>
                <w:sz w:val="20"/>
                <w:szCs w:val="20"/>
              </w:rPr>
            </w:pPr>
            <w:r w:rsidRPr="00D7265A">
              <w:rPr>
                <w:sz w:val="20"/>
                <w:szCs w:val="20"/>
                <w:lang w:val="en-US"/>
              </w:rPr>
              <w:t>Proposal will be taken into account in future development. Currently date of allocation and invoicing is dependent on other deadlines which are set in national legislation and agreements between operators, changing of which will take considerable amount of time.</w:t>
            </w:r>
          </w:p>
        </w:tc>
      </w:tr>
      <w:tr w:rsidR="00C644DF" w:rsidRPr="00E16344" w14:paraId="198CDF2A" w14:textId="77777777" w:rsidTr="00C644DF">
        <w:tc>
          <w:tcPr>
            <w:tcW w:w="13995" w:type="dxa"/>
            <w:gridSpan w:val="2"/>
            <w:shd w:val="clear" w:color="auto" w:fill="D0CECE" w:themeFill="background2" w:themeFillShade="E6"/>
            <w:vAlign w:val="center"/>
          </w:tcPr>
          <w:p w14:paraId="4718B2B7" w14:textId="77777777" w:rsidR="00C644DF" w:rsidRPr="00E16344" w:rsidRDefault="00C644DF" w:rsidP="00A4324F">
            <w:pPr>
              <w:pStyle w:val="Heading2"/>
              <w:jc w:val="both"/>
              <w:outlineLvl w:val="1"/>
            </w:pPr>
            <w:r w:rsidRPr="00E16344">
              <w:t>Rights and obligations of the system operator</w:t>
            </w:r>
          </w:p>
        </w:tc>
      </w:tr>
      <w:tr w:rsidR="00C644DF" w:rsidRPr="00E16344" w14:paraId="6A003EC4" w14:textId="77777777" w:rsidTr="00DF65C7">
        <w:tc>
          <w:tcPr>
            <w:tcW w:w="8926" w:type="dxa"/>
          </w:tcPr>
          <w:p w14:paraId="4C5A0913" w14:textId="77777777" w:rsidR="0043174E" w:rsidRPr="00E16344" w:rsidRDefault="0043174E" w:rsidP="00A4324F">
            <w:pPr>
              <w:jc w:val="both"/>
              <w:rPr>
                <w:rFonts w:cstheme="minorHAnsi"/>
                <w:sz w:val="20"/>
                <w:szCs w:val="20"/>
              </w:rPr>
            </w:pPr>
          </w:p>
        </w:tc>
        <w:tc>
          <w:tcPr>
            <w:tcW w:w="5069" w:type="dxa"/>
          </w:tcPr>
          <w:p w14:paraId="351B0E4C" w14:textId="77777777" w:rsidR="00C644DF" w:rsidRPr="00E16344" w:rsidRDefault="00C644DF" w:rsidP="00A4324F">
            <w:pPr>
              <w:jc w:val="both"/>
              <w:rPr>
                <w:rFonts w:cstheme="minorHAnsi"/>
                <w:sz w:val="20"/>
                <w:szCs w:val="20"/>
              </w:rPr>
            </w:pPr>
          </w:p>
        </w:tc>
      </w:tr>
      <w:tr w:rsidR="00C644DF" w:rsidRPr="00E16344" w14:paraId="6B94CF57" w14:textId="77777777" w:rsidTr="00C644DF">
        <w:tc>
          <w:tcPr>
            <w:tcW w:w="13995" w:type="dxa"/>
            <w:gridSpan w:val="2"/>
            <w:shd w:val="clear" w:color="auto" w:fill="D0CECE" w:themeFill="background2" w:themeFillShade="E6"/>
            <w:vAlign w:val="center"/>
          </w:tcPr>
          <w:p w14:paraId="2674D825" w14:textId="77777777" w:rsidR="00C644DF" w:rsidRPr="00E16344" w:rsidRDefault="00C644DF" w:rsidP="00A4324F">
            <w:pPr>
              <w:pStyle w:val="Heading2"/>
              <w:jc w:val="both"/>
              <w:outlineLvl w:val="1"/>
              <w:rPr>
                <w:lang w:val="en-GB" w:eastAsia="en-GB"/>
              </w:rPr>
            </w:pPr>
            <w:r w:rsidRPr="00E16344">
              <w:rPr>
                <w:lang w:val="en-GB" w:eastAsia="en-GB"/>
              </w:rPr>
              <w:t>Rights and obligations of the Network User</w:t>
            </w:r>
          </w:p>
        </w:tc>
      </w:tr>
      <w:tr w:rsidR="00C644DF" w:rsidRPr="00E16344" w14:paraId="19DB884B" w14:textId="77777777" w:rsidTr="00DF65C7">
        <w:tc>
          <w:tcPr>
            <w:tcW w:w="8926" w:type="dxa"/>
          </w:tcPr>
          <w:p w14:paraId="46E33CE2" w14:textId="77777777" w:rsidR="0043174E" w:rsidRPr="00E16344" w:rsidRDefault="0043174E" w:rsidP="00A4324F">
            <w:pPr>
              <w:jc w:val="both"/>
              <w:rPr>
                <w:rFonts w:cstheme="minorHAnsi"/>
                <w:sz w:val="20"/>
                <w:szCs w:val="20"/>
              </w:rPr>
            </w:pPr>
          </w:p>
        </w:tc>
        <w:tc>
          <w:tcPr>
            <w:tcW w:w="5069" w:type="dxa"/>
          </w:tcPr>
          <w:p w14:paraId="16A382BF" w14:textId="77777777" w:rsidR="00C644DF" w:rsidRPr="00E16344" w:rsidRDefault="00C644DF" w:rsidP="00A4324F">
            <w:pPr>
              <w:jc w:val="both"/>
              <w:rPr>
                <w:rFonts w:cstheme="minorHAnsi"/>
                <w:sz w:val="20"/>
                <w:szCs w:val="20"/>
              </w:rPr>
            </w:pPr>
          </w:p>
        </w:tc>
      </w:tr>
      <w:tr w:rsidR="00C644DF" w:rsidRPr="00E16344" w14:paraId="5D511410" w14:textId="77777777" w:rsidTr="00C644DF">
        <w:tc>
          <w:tcPr>
            <w:tcW w:w="13995" w:type="dxa"/>
            <w:gridSpan w:val="2"/>
            <w:shd w:val="clear" w:color="auto" w:fill="D0CECE" w:themeFill="background2" w:themeFillShade="E6"/>
            <w:vAlign w:val="center"/>
          </w:tcPr>
          <w:p w14:paraId="160873D9" w14:textId="77777777" w:rsidR="00C644DF" w:rsidRPr="00E16344" w:rsidRDefault="00C644DF" w:rsidP="00A4324F">
            <w:pPr>
              <w:pStyle w:val="Heading2"/>
              <w:jc w:val="both"/>
              <w:outlineLvl w:val="1"/>
              <w:rPr>
                <w:lang w:val="en-GB" w:eastAsia="en-GB"/>
              </w:rPr>
            </w:pPr>
            <w:r w:rsidRPr="00E16344">
              <w:rPr>
                <w:lang w:val="en-GB" w:eastAsia="en-GB"/>
              </w:rPr>
              <w:lastRenderedPageBreak/>
              <w:t>Liability and compensation for damage</w:t>
            </w:r>
          </w:p>
        </w:tc>
      </w:tr>
      <w:tr w:rsidR="00C644DF" w:rsidRPr="00E16344" w14:paraId="23E7B850" w14:textId="77777777" w:rsidTr="00DF65C7">
        <w:tc>
          <w:tcPr>
            <w:tcW w:w="8926" w:type="dxa"/>
          </w:tcPr>
          <w:p w14:paraId="0A7B878D" w14:textId="77777777" w:rsidR="00C644DF" w:rsidRPr="00E16344" w:rsidRDefault="00C644DF" w:rsidP="00A4324F">
            <w:pPr>
              <w:jc w:val="both"/>
              <w:rPr>
                <w:rFonts w:cstheme="minorHAnsi"/>
                <w:sz w:val="20"/>
                <w:szCs w:val="20"/>
              </w:rPr>
            </w:pPr>
          </w:p>
        </w:tc>
        <w:tc>
          <w:tcPr>
            <w:tcW w:w="5069" w:type="dxa"/>
          </w:tcPr>
          <w:p w14:paraId="400BE89D" w14:textId="77777777" w:rsidR="00C644DF" w:rsidRPr="00E16344" w:rsidRDefault="00C644DF" w:rsidP="00A4324F">
            <w:pPr>
              <w:jc w:val="both"/>
              <w:rPr>
                <w:rFonts w:cstheme="minorHAnsi"/>
                <w:sz w:val="20"/>
                <w:szCs w:val="20"/>
              </w:rPr>
            </w:pPr>
          </w:p>
        </w:tc>
      </w:tr>
      <w:tr w:rsidR="00C644DF" w:rsidRPr="00E16344" w14:paraId="2A2EBA3A" w14:textId="77777777" w:rsidTr="00C644DF">
        <w:tc>
          <w:tcPr>
            <w:tcW w:w="13995" w:type="dxa"/>
            <w:gridSpan w:val="2"/>
            <w:shd w:val="clear" w:color="auto" w:fill="D0CECE" w:themeFill="background2" w:themeFillShade="E6"/>
            <w:vAlign w:val="center"/>
          </w:tcPr>
          <w:p w14:paraId="0B969069" w14:textId="77777777" w:rsidR="00C644DF" w:rsidRPr="00E16344" w:rsidRDefault="00C644DF" w:rsidP="00A4324F">
            <w:pPr>
              <w:pStyle w:val="Heading2"/>
              <w:jc w:val="both"/>
              <w:outlineLvl w:val="1"/>
            </w:pPr>
            <w:r w:rsidRPr="00E16344">
              <w:t>Modification of the balancing rules and the balancing agreement</w:t>
            </w:r>
          </w:p>
        </w:tc>
      </w:tr>
      <w:tr w:rsidR="00C644DF" w:rsidRPr="00E16344" w14:paraId="2DBB25F1" w14:textId="77777777" w:rsidTr="00DF65C7">
        <w:tc>
          <w:tcPr>
            <w:tcW w:w="8926" w:type="dxa"/>
          </w:tcPr>
          <w:p w14:paraId="1D15123E" w14:textId="77777777" w:rsidR="000F67E6" w:rsidRDefault="00E16344" w:rsidP="000F67E6">
            <w:pPr>
              <w:jc w:val="both"/>
              <w:rPr>
                <w:rFonts w:eastAsia="Times New Roman" w:cstheme="minorHAnsi"/>
                <w:sz w:val="20"/>
                <w:szCs w:val="20"/>
                <w:lang w:val="en-GB" w:eastAsia="en-GB"/>
              </w:rPr>
            </w:pPr>
            <w:r w:rsidRPr="00E16344">
              <w:rPr>
                <w:rFonts w:eastAsia="Times New Roman" w:cstheme="minorHAnsi"/>
                <w:sz w:val="20"/>
                <w:szCs w:val="20"/>
                <w:lang w:val="en-GB" w:eastAsia="en-GB"/>
              </w:rPr>
              <w:t xml:space="preserve">Stakeholder 4 </w:t>
            </w:r>
          </w:p>
          <w:p w14:paraId="06D49B97" w14:textId="04E33FD9" w:rsidR="00C644DF" w:rsidRPr="00E16344" w:rsidRDefault="00C644DF" w:rsidP="000F67E6">
            <w:pPr>
              <w:jc w:val="both"/>
              <w:rPr>
                <w:rFonts w:cstheme="minorHAnsi"/>
                <w:sz w:val="20"/>
                <w:szCs w:val="20"/>
              </w:rPr>
            </w:pPr>
            <w:r w:rsidRPr="00E16344">
              <w:rPr>
                <w:rFonts w:eastAsia="Times New Roman" w:cstheme="minorHAnsi"/>
                <w:sz w:val="20"/>
                <w:szCs w:val="20"/>
                <w:lang w:val="en-GB" w:eastAsia="en-GB"/>
              </w:rPr>
              <w:t>For the sake of clarity, we suggest to mention that contract is valid for indefinite period of time.</w:t>
            </w:r>
          </w:p>
        </w:tc>
        <w:tc>
          <w:tcPr>
            <w:tcW w:w="5069" w:type="dxa"/>
          </w:tcPr>
          <w:p w14:paraId="2561A31C" w14:textId="77777777" w:rsidR="00C644DF" w:rsidRPr="00E16344" w:rsidRDefault="00D90004" w:rsidP="00A4324F">
            <w:pPr>
              <w:jc w:val="both"/>
              <w:rPr>
                <w:rFonts w:cstheme="minorHAnsi"/>
                <w:sz w:val="20"/>
                <w:szCs w:val="20"/>
              </w:rPr>
            </w:pPr>
            <w:r>
              <w:rPr>
                <w:sz w:val="20"/>
                <w:szCs w:val="20"/>
                <w:lang w:val="en-US"/>
              </w:rPr>
              <w:t>Proposal taken into account. Such provision will be included in agreement.</w:t>
            </w:r>
          </w:p>
        </w:tc>
      </w:tr>
      <w:tr w:rsidR="00C644DF" w:rsidRPr="00E16344" w14:paraId="69D9E3A6" w14:textId="77777777" w:rsidTr="00DF65C7">
        <w:tc>
          <w:tcPr>
            <w:tcW w:w="13995" w:type="dxa"/>
            <w:gridSpan w:val="2"/>
            <w:shd w:val="clear" w:color="auto" w:fill="D0CECE" w:themeFill="background2" w:themeFillShade="E6"/>
            <w:vAlign w:val="center"/>
          </w:tcPr>
          <w:p w14:paraId="7FAB4DF0" w14:textId="77777777" w:rsidR="00C644DF" w:rsidRPr="00E16344" w:rsidRDefault="00C644DF" w:rsidP="00A4324F">
            <w:pPr>
              <w:pStyle w:val="Heading2"/>
              <w:jc w:val="both"/>
              <w:outlineLvl w:val="1"/>
              <w:rPr>
                <w:lang w:val="en-GB" w:eastAsia="en-GB"/>
              </w:rPr>
            </w:pPr>
            <w:r w:rsidRPr="00E16344">
              <w:rPr>
                <w:lang w:val="en-GB" w:eastAsia="en-GB"/>
              </w:rPr>
              <w:t>Declaration of intent</w:t>
            </w:r>
          </w:p>
        </w:tc>
      </w:tr>
      <w:tr w:rsidR="00DF65C7" w:rsidRPr="00E16344" w14:paraId="3B4234F9" w14:textId="77777777" w:rsidTr="00DF65C7">
        <w:tc>
          <w:tcPr>
            <w:tcW w:w="8926" w:type="dxa"/>
            <w:vAlign w:val="center"/>
          </w:tcPr>
          <w:p w14:paraId="66FF540F" w14:textId="77777777" w:rsidR="00DF65C7" w:rsidRPr="00E16344" w:rsidRDefault="00DF65C7" w:rsidP="00A4324F">
            <w:pPr>
              <w:pStyle w:val="NoSpacing"/>
              <w:jc w:val="both"/>
              <w:rPr>
                <w:rFonts w:cstheme="minorHAnsi"/>
                <w:sz w:val="20"/>
                <w:szCs w:val="20"/>
                <w:lang w:val="en-GB" w:eastAsia="en-GB"/>
              </w:rPr>
            </w:pPr>
          </w:p>
        </w:tc>
        <w:tc>
          <w:tcPr>
            <w:tcW w:w="5069" w:type="dxa"/>
            <w:vAlign w:val="center"/>
          </w:tcPr>
          <w:p w14:paraId="6C48ADD8" w14:textId="77777777" w:rsidR="00DF65C7" w:rsidRPr="00E16344" w:rsidRDefault="00DF65C7" w:rsidP="00A4324F">
            <w:pPr>
              <w:pStyle w:val="NoSpacing"/>
              <w:ind w:left="720"/>
              <w:jc w:val="both"/>
              <w:rPr>
                <w:rFonts w:cstheme="minorHAnsi"/>
                <w:sz w:val="20"/>
                <w:szCs w:val="20"/>
                <w:lang w:val="en-GB" w:eastAsia="en-GB"/>
              </w:rPr>
            </w:pPr>
          </w:p>
        </w:tc>
      </w:tr>
      <w:tr w:rsidR="00C644DF" w:rsidRPr="00E16344" w14:paraId="235C3ABB" w14:textId="77777777" w:rsidTr="00DF65C7">
        <w:tc>
          <w:tcPr>
            <w:tcW w:w="13995" w:type="dxa"/>
            <w:gridSpan w:val="2"/>
            <w:shd w:val="clear" w:color="auto" w:fill="D0CECE" w:themeFill="background2" w:themeFillShade="E6"/>
            <w:vAlign w:val="center"/>
          </w:tcPr>
          <w:p w14:paraId="75F717E2" w14:textId="77777777" w:rsidR="00C644DF" w:rsidRPr="00E16344" w:rsidRDefault="00C644DF" w:rsidP="00A4324F">
            <w:pPr>
              <w:pStyle w:val="Heading2"/>
              <w:jc w:val="both"/>
              <w:outlineLvl w:val="1"/>
              <w:rPr>
                <w:lang w:val="en-GB" w:eastAsia="en-GB"/>
              </w:rPr>
            </w:pPr>
            <w:r w:rsidRPr="00E16344">
              <w:rPr>
                <w:lang w:val="en-GB" w:eastAsia="en-GB"/>
              </w:rPr>
              <w:t>Force majeure</w:t>
            </w:r>
          </w:p>
        </w:tc>
      </w:tr>
      <w:tr w:rsidR="00DF65C7" w:rsidRPr="00E16344" w14:paraId="124011C3" w14:textId="77777777" w:rsidTr="00DF65C7">
        <w:tc>
          <w:tcPr>
            <w:tcW w:w="8926" w:type="dxa"/>
            <w:vAlign w:val="center"/>
          </w:tcPr>
          <w:p w14:paraId="2445D4B4" w14:textId="77777777" w:rsidR="00DF65C7" w:rsidRPr="00E16344" w:rsidRDefault="00DF65C7" w:rsidP="00A4324F">
            <w:pPr>
              <w:pStyle w:val="NoSpacing"/>
              <w:jc w:val="both"/>
              <w:rPr>
                <w:rFonts w:cstheme="minorHAnsi"/>
                <w:sz w:val="20"/>
                <w:szCs w:val="20"/>
                <w:lang w:val="en-GB" w:eastAsia="en-GB"/>
              </w:rPr>
            </w:pPr>
          </w:p>
        </w:tc>
        <w:tc>
          <w:tcPr>
            <w:tcW w:w="5069" w:type="dxa"/>
            <w:vAlign w:val="center"/>
          </w:tcPr>
          <w:p w14:paraId="25FDBCC8" w14:textId="77777777" w:rsidR="00DF65C7" w:rsidRPr="00E16344" w:rsidRDefault="00DF65C7" w:rsidP="00A4324F">
            <w:pPr>
              <w:pStyle w:val="NoSpacing"/>
              <w:ind w:left="720"/>
              <w:jc w:val="both"/>
              <w:rPr>
                <w:rFonts w:cstheme="minorHAnsi"/>
                <w:sz w:val="20"/>
                <w:szCs w:val="20"/>
                <w:lang w:val="en-GB" w:eastAsia="en-GB"/>
              </w:rPr>
            </w:pPr>
          </w:p>
        </w:tc>
      </w:tr>
      <w:tr w:rsidR="00C644DF" w:rsidRPr="00E16344" w14:paraId="01AEF02E" w14:textId="77777777" w:rsidTr="00DF65C7">
        <w:tc>
          <w:tcPr>
            <w:tcW w:w="13995" w:type="dxa"/>
            <w:gridSpan w:val="2"/>
            <w:shd w:val="clear" w:color="auto" w:fill="D0CECE" w:themeFill="background2" w:themeFillShade="E6"/>
            <w:vAlign w:val="center"/>
          </w:tcPr>
          <w:p w14:paraId="3EF615CB" w14:textId="77777777" w:rsidR="00C644DF" w:rsidRPr="00E16344" w:rsidRDefault="00C644DF" w:rsidP="00A4324F">
            <w:pPr>
              <w:pStyle w:val="Heading2"/>
              <w:jc w:val="both"/>
              <w:outlineLvl w:val="1"/>
            </w:pPr>
            <w:r w:rsidRPr="00E16344">
              <w:rPr>
                <w:lang w:val="en-GB" w:eastAsia="en-GB"/>
              </w:rPr>
              <w:t>Confidentiality</w:t>
            </w:r>
          </w:p>
        </w:tc>
      </w:tr>
      <w:tr w:rsidR="00DF65C7" w:rsidRPr="00E16344" w14:paraId="3E871D7D" w14:textId="77777777" w:rsidTr="00DF65C7">
        <w:tc>
          <w:tcPr>
            <w:tcW w:w="8926" w:type="dxa"/>
            <w:vAlign w:val="center"/>
          </w:tcPr>
          <w:p w14:paraId="2F40C99D" w14:textId="77777777" w:rsidR="00DF65C7" w:rsidRPr="00E16344" w:rsidRDefault="00DF65C7" w:rsidP="00A4324F">
            <w:pPr>
              <w:pStyle w:val="ListParagraph"/>
              <w:spacing w:line="240" w:lineRule="auto"/>
              <w:jc w:val="both"/>
              <w:rPr>
                <w:rFonts w:cstheme="minorHAnsi"/>
                <w:sz w:val="20"/>
                <w:szCs w:val="20"/>
                <w:lang w:val="en-GB" w:eastAsia="en-GB"/>
              </w:rPr>
            </w:pPr>
          </w:p>
        </w:tc>
        <w:tc>
          <w:tcPr>
            <w:tcW w:w="5069" w:type="dxa"/>
            <w:vAlign w:val="center"/>
          </w:tcPr>
          <w:p w14:paraId="638348A7" w14:textId="77777777" w:rsidR="00DF65C7" w:rsidRPr="00E16344" w:rsidRDefault="00DF65C7" w:rsidP="00A4324F">
            <w:pPr>
              <w:pStyle w:val="ListParagraph"/>
              <w:spacing w:line="240" w:lineRule="auto"/>
              <w:jc w:val="both"/>
              <w:rPr>
                <w:rFonts w:cstheme="minorHAnsi"/>
                <w:sz w:val="20"/>
                <w:szCs w:val="20"/>
                <w:lang w:val="en-GB" w:eastAsia="en-GB"/>
              </w:rPr>
            </w:pPr>
          </w:p>
        </w:tc>
      </w:tr>
      <w:tr w:rsidR="00C644DF" w:rsidRPr="00E16344" w14:paraId="1F240655" w14:textId="77777777" w:rsidTr="00DF65C7">
        <w:tc>
          <w:tcPr>
            <w:tcW w:w="13995" w:type="dxa"/>
            <w:gridSpan w:val="2"/>
            <w:shd w:val="clear" w:color="auto" w:fill="D0CECE" w:themeFill="background2" w:themeFillShade="E6"/>
            <w:vAlign w:val="center"/>
          </w:tcPr>
          <w:p w14:paraId="608310AF" w14:textId="77777777" w:rsidR="00C644DF" w:rsidRPr="00E16344" w:rsidRDefault="00C644DF" w:rsidP="00A4324F">
            <w:pPr>
              <w:pStyle w:val="Heading2"/>
              <w:jc w:val="both"/>
              <w:outlineLvl w:val="1"/>
            </w:pPr>
            <w:r w:rsidRPr="00E16344">
              <w:rPr>
                <w:lang w:val="en-GB" w:eastAsia="en-GB"/>
              </w:rPr>
              <w:t>Applicable law and dispute settlement</w:t>
            </w:r>
          </w:p>
        </w:tc>
      </w:tr>
      <w:tr w:rsidR="00DF65C7" w:rsidRPr="00E16344" w14:paraId="64D37B28" w14:textId="77777777" w:rsidTr="00DF65C7">
        <w:tc>
          <w:tcPr>
            <w:tcW w:w="8926" w:type="dxa"/>
            <w:vAlign w:val="center"/>
          </w:tcPr>
          <w:p w14:paraId="4413AEEA" w14:textId="77777777" w:rsidR="00DF65C7" w:rsidRPr="00E16344" w:rsidRDefault="00DF65C7" w:rsidP="00A4324F">
            <w:pPr>
              <w:pStyle w:val="ListParagraph"/>
              <w:spacing w:line="240" w:lineRule="auto"/>
              <w:jc w:val="both"/>
              <w:rPr>
                <w:rFonts w:cstheme="minorHAnsi"/>
                <w:sz w:val="20"/>
                <w:szCs w:val="20"/>
                <w:lang w:val="en-GB" w:eastAsia="en-GB"/>
              </w:rPr>
            </w:pPr>
          </w:p>
        </w:tc>
        <w:tc>
          <w:tcPr>
            <w:tcW w:w="5069" w:type="dxa"/>
            <w:vAlign w:val="center"/>
          </w:tcPr>
          <w:p w14:paraId="422A1E26" w14:textId="77777777" w:rsidR="00DF65C7" w:rsidRPr="00E16344" w:rsidRDefault="00DF65C7" w:rsidP="00A4324F">
            <w:pPr>
              <w:pStyle w:val="ListParagraph"/>
              <w:spacing w:line="240" w:lineRule="auto"/>
              <w:jc w:val="both"/>
              <w:rPr>
                <w:rFonts w:cstheme="minorHAnsi"/>
                <w:sz w:val="20"/>
                <w:szCs w:val="20"/>
                <w:lang w:val="en-GB" w:eastAsia="en-GB"/>
              </w:rPr>
            </w:pPr>
          </w:p>
        </w:tc>
      </w:tr>
      <w:tr w:rsidR="00C644DF" w:rsidRPr="00E16344" w14:paraId="52C9208A" w14:textId="77777777" w:rsidTr="00DF65C7">
        <w:tc>
          <w:tcPr>
            <w:tcW w:w="13995" w:type="dxa"/>
            <w:gridSpan w:val="2"/>
            <w:shd w:val="clear" w:color="auto" w:fill="D0CECE" w:themeFill="background2" w:themeFillShade="E6"/>
            <w:vAlign w:val="center"/>
          </w:tcPr>
          <w:p w14:paraId="2028A831" w14:textId="77777777" w:rsidR="00C644DF" w:rsidRPr="00E16344" w:rsidRDefault="00C644DF" w:rsidP="00A4324F">
            <w:pPr>
              <w:pStyle w:val="Heading2"/>
              <w:jc w:val="both"/>
              <w:outlineLvl w:val="1"/>
            </w:pPr>
            <w:r w:rsidRPr="00E16344">
              <w:rPr>
                <w:lang w:val="en-GB" w:eastAsia="en-GB"/>
              </w:rPr>
              <w:t>Final provisions</w:t>
            </w:r>
          </w:p>
        </w:tc>
      </w:tr>
    </w:tbl>
    <w:p w14:paraId="08F22594" w14:textId="77777777" w:rsidR="00BE4C55" w:rsidRPr="00E16344" w:rsidRDefault="00BE4C55" w:rsidP="00A4324F">
      <w:pPr>
        <w:jc w:val="both"/>
        <w:rPr>
          <w:rFonts w:cstheme="minorHAnsi"/>
          <w:sz w:val="20"/>
          <w:szCs w:val="20"/>
        </w:rPr>
      </w:pPr>
    </w:p>
    <w:tbl>
      <w:tblPr>
        <w:tblStyle w:val="TableGrid"/>
        <w:tblW w:w="0" w:type="auto"/>
        <w:tblLook w:val="04A0" w:firstRow="1" w:lastRow="0" w:firstColumn="1" w:lastColumn="0" w:noHBand="0" w:noVBand="1"/>
      </w:tblPr>
      <w:tblGrid>
        <w:gridCol w:w="8784"/>
        <w:gridCol w:w="5210"/>
      </w:tblGrid>
      <w:tr w:rsidR="00C66AE0" w:rsidRPr="00E16344" w14:paraId="0A7287E1" w14:textId="77777777" w:rsidTr="005F0E72">
        <w:tc>
          <w:tcPr>
            <w:tcW w:w="13994" w:type="dxa"/>
            <w:gridSpan w:val="2"/>
            <w:shd w:val="clear" w:color="auto" w:fill="E7E6E6" w:themeFill="background2"/>
          </w:tcPr>
          <w:p w14:paraId="4C985144" w14:textId="77777777" w:rsidR="005F0E72" w:rsidRPr="00C83420" w:rsidRDefault="005F0E72" w:rsidP="00A4324F">
            <w:pPr>
              <w:jc w:val="both"/>
              <w:rPr>
                <w:rFonts w:asciiTheme="majorHAnsi" w:hAnsiTheme="majorHAnsi" w:cstheme="majorHAnsi"/>
                <w:b/>
                <w:sz w:val="26"/>
                <w:szCs w:val="26"/>
              </w:rPr>
            </w:pPr>
            <w:r w:rsidRPr="00C83420">
              <w:rPr>
                <w:rFonts w:asciiTheme="majorHAnsi" w:hAnsiTheme="majorHAnsi" w:cstheme="majorHAnsi"/>
                <w:b/>
                <w:sz w:val="26"/>
                <w:szCs w:val="26"/>
                <w:lang w:val="en-GB" w:eastAsia="en-GB"/>
              </w:rPr>
              <w:t>For the balancing agreement collateral management rules foresee different rules depending on with which TSO agreement is concluded. Do you agree with such approach?</w:t>
            </w:r>
          </w:p>
        </w:tc>
      </w:tr>
      <w:tr w:rsidR="00C66AE0" w:rsidRPr="00E16344" w14:paraId="525B7584" w14:textId="77777777" w:rsidTr="00DF65C7">
        <w:tc>
          <w:tcPr>
            <w:tcW w:w="8784" w:type="dxa"/>
          </w:tcPr>
          <w:p w14:paraId="66D384F9" w14:textId="77777777" w:rsidR="005F0E72" w:rsidRPr="00E16344" w:rsidRDefault="005F0E72" w:rsidP="00A4324F">
            <w:pPr>
              <w:jc w:val="both"/>
              <w:rPr>
                <w:rFonts w:cstheme="minorHAnsi"/>
                <w:sz w:val="20"/>
                <w:szCs w:val="20"/>
              </w:rPr>
            </w:pPr>
            <w:r w:rsidRPr="00E16344">
              <w:rPr>
                <w:rFonts w:cstheme="minorHAnsi"/>
                <w:sz w:val="20"/>
                <w:szCs w:val="20"/>
              </w:rPr>
              <w:t>Stakeholder comment</w:t>
            </w:r>
          </w:p>
        </w:tc>
        <w:tc>
          <w:tcPr>
            <w:tcW w:w="5210" w:type="dxa"/>
          </w:tcPr>
          <w:p w14:paraId="5BA1342C" w14:textId="77777777" w:rsidR="005F0E72" w:rsidRPr="00E16344" w:rsidRDefault="005F0E72" w:rsidP="00A4324F">
            <w:pPr>
              <w:jc w:val="both"/>
              <w:rPr>
                <w:rFonts w:cstheme="minorHAnsi"/>
                <w:sz w:val="20"/>
                <w:szCs w:val="20"/>
              </w:rPr>
            </w:pPr>
            <w:r w:rsidRPr="00E16344">
              <w:rPr>
                <w:rFonts w:cstheme="minorHAnsi"/>
                <w:sz w:val="20"/>
                <w:szCs w:val="20"/>
              </w:rPr>
              <w:t>TSOs’ comment</w:t>
            </w:r>
          </w:p>
        </w:tc>
      </w:tr>
      <w:tr w:rsidR="00C66AE0" w:rsidRPr="00E16344" w14:paraId="7C11220B" w14:textId="77777777" w:rsidTr="00DF65C7">
        <w:tc>
          <w:tcPr>
            <w:tcW w:w="8784" w:type="dxa"/>
          </w:tcPr>
          <w:p w14:paraId="19B83A9F" w14:textId="11ECE182" w:rsidR="005F0E72" w:rsidRPr="00E16344" w:rsidRDefault="000F67E6" w:rsidP="00A4324F">
            <w:pPr>
              <w:jc w:val="both"/>
              <w:rPr>
                <w:rFonts w:cstheme="minorHAnsi"/>
                <w:sz w:val="20"/>
                <w:szCs w:val="20"/>
              </w:rPr>
            </w:pPr>
            <w:r>
              <w:rPr>
                <w:rFonts w:cstheme="minorHAnsi"/>
                <w:sz w:val="20"/>
                <w:szCs w:val="20"/>
              </w:rPr>
              <w:t>Stakeholder 2</w:t>
            </w:r>
          </w:p>
          <w:p w14:paraId="4BADAE4B" w14:textId="77777777" w:rsidR="006B6675" w:rsidRPr="00E16344" w:rsidRDefault="006B6675" w:rsidP="00A4324F">
            <w:pPr>
              <w:jc w:val="both"/>
              <w:rPr>
                <w:rFonts w:cstheme="minorHAnsi"/>
                <w:sz w:val="20"/>
                <w:szCs w:val="20"/>
              </w:rPr>
            </w:pPr>
            <w:r w:rsidRPr="00E16344">
              <w:rPr>
                <w:rFonts w:eastAsia="Times New Roman" w:cstheme="minorHAnsi"/>
                <w:sz w:val="20"/>
                <w:szCs w:val="20"/>
                <w:lang w:val="en-GB" w:eastAsia="en-GB"/>
              </w:rPr>
              <w:t xml:space="preserve">In </w:t>
            </w:r>
            <w:proofErr w:type="spellStart"/>
            <w:r w:rsidRPr="00E16344">
              <w:rPr>
                <w:rFonts w:eastAsia="Times New Roman" w:cstheme="minorHAnsi"/>
                <w:sz w:val="20"/>
                <w:szCs w:val="20"/>
                <w:lang w:val="en-GB" w:eastAsia="en-GB"/>
              </w:rPr>
              <w:t>priniciple</w:t>
            </w:r>
            <w:proofErr w:type="spellEnd"/>
            <w:r w:rsidRPr="00E16344">
              <w:rPr>
                <w:rFonts w:eastAsia="Times New Roman" w:cstheme="minorHAnsi"/>
                <w:sz w:val="20"/>
                <w:szCs w:val="20"/>
                <w:lang w:val="en-GB" w:eastAsia="en-GB"/>
              </w:rPr>
              <w:t xml:space="preserve"> it is fine as long as the collateral management rules do not differ too much.</w:t>
            </w:r>
          </w:p>
        </w:tc>
        <w:tc>
          <w:tcPr>
            <w:tcW w:w="5210" w:type="dxa"/>
          </w:tcPr>
          <w:p w14:paraId="6104467D" w14:textId="77777777" w:rsidR="005F0E72" w:rsidRPr="00E16344" w:rsidRDefault="005F0E72" w:rsidP="00A4324F">
            <w:pPr>
              <w:jc w:val="both"/>
              <w:rPr>
                <w:rFonts w:cstheme="minorHAnsi"/>
                <w:sz w:val="20"/>
                <w:szCs w:val="20"/>
              </w:rPr>
            </w:pPr>
          </w:p>
        </w:tc>
      </w:tr>
      <w:tr w:rsidR="00C66AE0" w:rsidRPr="00E16344" w14:paraId="5D06E47F" w14:textId="77777777" w:rsidTr="00DF65C7">
        <w:tc>
          <w:tcPr>
            <w:tcW w:w="8784" w:type="dxa"/>
          </w:tcPr>
          <w:p w14:paraId="3853EAC5" w14:textId="0BF7939D" w:rsidR="005F0E72" w:rsidRPr="00E16344" w:rsidRDefault="000F67E6" w:rsidP="00A4324F">
            <w:pPr>
              <w:jc w:val="both"/>
              <w:rPr>
                <w:rFonts w:cstheme="minorHAnsi"/>
                <w:sz w:val="20"/>
                <w:szCs w:val="20"/>
              </w:rPr>
            </w:pPr>
            <w:r>
              <w:rPr>
                <w:rFonts w:cstheme="minorHAnsi"/>
                <w:sz w:val="20"/>
                <w:szCs w:val="20"/>
              </w:rPr>
              <w:t xml:space="preserve">Stakeholder 3 </w:t>
            </w:r>
          </w:p>
          <w:p w14:paraId="06625B44" w14:textId="77777777" w:rsidR="00F362C6" w:rsidRPr="00E16344" w:rsidRDefault="00F362C6" w:rsidP="00A4324F">
            <w:pPr>
              <w:jc w:val="both"/>
              <w:rPr>
                <w:rFonts w:cstheme="minorHAnsi"/>
                <w:sz w:val="20"/>
                <w:szCs w:val="20"/>
              </w:rPr>
            </w:pPr>
            <w:r w:rsidRPr="00E16344">
              <w:rPr>
                <w:rFonts w:cstheme="minorHAnsi"/>
                <w:sz w:val="20"/>
                <w:szCs w:val="20"/>
              </w:rPr>
              <w:t>Yes</w:t>
            </w:r>
          </w:p>
        </w:tc>
        <w:tc>
          <w:tcPr>
            <w:tcW w:w="5210" w:type="dxa"/>
          </w:tcPr>
          <w:p w14:paraId="0653EF10" w14:textId="77777777" w:rsidR="005F0E72" w:rsidRPr="00E16344" w:rsidRDefault="005F0E72" w:rsidP="00A4324F">
            <w:pPr>
              <w:jc w:val="both"/>
              <w:rPr>
                <w:rFonts w:cstheme="minorHAnsi"/>
                <w:sz w:val="20"/>
                <w:szCs w:val="20"/>
              </w:rPr>
            </w:pPr>
          </w:p>
        </w:tc>
      </w:tr>
    </w:tbl>
    <w:p w14:paraId="6C78B201" w14:textId="77777777" w:rsidR="00BE4C55" w:rsidRPr="00E16344" w:rsidRDefault="00BE4C55" w:rsidP="00A4324F">
      <w:pPr>
        <w:jc w:val="both"/>
        <w:rPr>
          <w:rFonts w:cstheme="minorHAnsi"/>
          <w:sz w:val="20"/>
          <w:szCs w:val="20"/>
        </w:rPr>
      </w:pPr>
    </w:p>
    <w:tbl>
      <w:tblPr>
        <w:tblStyle w:val="TableGrid"/>
        <w:tblW w:w="0" w:type="auto"/>
        <w:tblLook w:val="04A0" w:firstRow="1" w:lastRow="0" w:firstColumn="1" w:lastColumn="0" w:noHBand="0" w:noVBand="1"/>
      </w:tblPr>
      <w:tblGrid>
        <w:gridCol w:w="8784"/>
        <w:gridCol w:w="5210"/>
      </w:tblGrid>
      <w:tr w:rsidR="00C66AE0" w:rsidRPr="00E16344" w14:paraId="71E71408" w14:textId="77777777" w:rsidTr="003A0913">
        <w:tc>
          <w:tcPr>
            <w:tcW w:w="13994" w:type="dxa"/>
            <w:gridSpan w:val="2"/>
            <w:shd w:val="clear" w:color="auto" w:fill="E7E6E6" w:themeFill="background2"/>
          </w:tcPr>
          <w:p w14:paraId="6D51B058" w14:textId="77777777" w:rsidR="005F0E72" w:rsidRPr="00C83420" w:rsidRDefault="005F0E72" w:rsidP="00A4324F">
            <w:pPr>
              <w:jc w:val="both"/>
              <w:rPr>
                <w:rFonts w:asciiTheme="majorHAnsi" w:hAnsiTheme="majorHAnsi" w:cstheme="majorHAnsi"/>
                <w:b/>
                <w:sz w:val="26"/>
                <w:szCs w:val="26"/>
              </w:rPr>
            </w:pPr>
            <w:r w:rsidRPr="00C83420">
              <w:rPr>
                <w:rFonts w:asciiTheme="majorHAnsi" w:hAnsiTheme="majorHAnsi" w:cstheme="majorHAnsi"/>
                <w:b/>
                <w:sz w:val="26"/>
                <w:szCs w:val="26"/>
                <w:lang w:val="en-GB" w:eastAsia="en-GB"/>
              </w:rPr>
              <w:t>Common rules provide the possibility to transfer the balance responsibility to another Network User. Do you see the need to offer the possibility to transfer balance responsibility?</w:t>
            </w:r>
          </w:p>
        </w:tc>
      </w:tr>
      <w:tr w:rsidR="00C66AE0" w:rsidRPr="00E16344" w14:paraId="0D15C560" w14:textId="77777777" w:rsidTr="00C66AE0">
        <w:tc>
          <w:tcPr>
            <w:tcW w:w="8784" w:type="dxa"/>
          </w:tcPr>
          <w:p w14:paraId="48F85EAF" w14:textId="77777777" w:rsidR="005F0E72" w:rsidRPr="00E16344" w:rsidRDefault="005F0E72" w:rsidP="00A4324F">
            <w:pPr>
              <w:jc w:val="both"/>
              <w:rPr>
                <w:rFonts w:cstheme="minorHAnsi"/>
                <w:sz w:val="20"/>
                <w:szCs w:val="20"/>
              </w:rPr>
            </w:pPr>
            <w:r w:rsidRPr="00E16344">
              <w:rPr>
                <w:rFonts w:cstheme="minorHAnsi"/>
                <w:sz w:val="20"/>
                <w:szCs w:val="20"/>
              </w:rPr>
              <w:t>Stakeholder comment</w:t>
            </w:r>
          </w:p>
        </w:tc>
        <w:tc>
          <w:tcPr>
            <w:tcW w:w="5210" w:type="dxa"/>
          </w:tcPr>
          <w:p w14:paraId="7B552913" w14:textId="77777777" w:rsidR="005F0E72" w:rsidRPr="00E16344" w:rsidRDefault="005F0E72" w:rsidP="00A4324F">
            <w:pPr>
              <w:jc w:val="both"/>
              <w:rPr>
                <w:rFonts w:cstheme="minorHAnsi"/>
                <w:sz w:val="20"/>
                <w:szCs w:val="20"/>
              </w:rPr>
            </w:pPr>
            <w:r w:rsidRPr="00E16344">
              <w:rPr>
                <w:rFonts w:cstheme="minorHAnsi"/>
                <w:sz w:val="20"/>
                <w:szCs w:val="20"/>
              </w:rPr>
              <w:t>TSOs’ comment</w:t>
            </w:r>
          </w:p>
        </w:tc>
      </w:tr>
      <w:tr w:rsidR="00C66AE0" w:rsidRPr="00E16344" w14:paraId="6A62FA88" w14:textId="77777777" w:rsidTr="00C66AE0">
        <w:tc>
          <w:tcPr>
            <w:tcW w:w="8784" w:type="dxa"/>
          </w:tcPr>
          <w:p w14:paraId="1741B6F0" w14:textId="05054C2C" w:rsidR="005F0E72" w:rsidRPr="00E16344" w:rsidRDefault="000F67E6" w:rsidP="00A4324F">
            <w:pPr>
              <w:jc w:val="both"/>
              <w:rPr>
                <w:rFonts w:cstheme="minorHAnsi"/>
                <w:sz w:val="20"/>
                <w:szCs w:val="20"/>
              </w:rPr>
            </w:pPr>
            <w:r>
              <w:rPr>
                <w:rFonts w:cstheme="minorHAnsi"/>
                <w:sz w:val="20"/>
                <w:szCs w:val="20"/>
              </w:rPr>
              <w:t>Stakeholder 1</w:t>
            </w:r>
          </w:p>
          <w:p w14:paraId="4F13DE77" w14:textId="77777777" w:rsidR="005F0E72" w:rsidRPr="00E16344" w:rsidRDefault="005F0E72" w:rsidP="00A4324F">
            <w:pPr>
              <w:jc w:val="both"/>
              <w:rPr>
                <w:rFonts w:cstheme="minorHAnsi"/>
                <w:sz w:val="20"/>
                <w:szCs w:val="20"/>
              </w:rPr>
            </w:pPr>
            <w:r w:rsidRPr="00E16344">
              <w:rPr>
                <w:rFonts w:cstheme="minorHAnsi"/>
                <w:sz w:val="20"/>
                <w:szCs w:val="20"/>
              </w:rPr>
              <w:t>Yes, agree</w:t>
            </w:r>
          </w:p>
        </w:tc>
        <w:tc>
          <w:tcPr>
            <w:tcW w:w="5210" w:type="dxa"/>
          </w:tcPr>
          <w:p w14:paraId="484A6DCC" w14:textId="77777777" w:rsidR="005F0E72" w:rsidRPr="00E16344" w:rsidRDefault="005F0E72" w:rsidP="00A4324F">
            <w:pPr>
              <w:jc w:val="both"/>
              <w:rPr>
                <w:rFonts w:cstheme="minorHAnsi"/>
                <w:sz w:val="20"/>
                <w:szCs w:val="20"/>
              </w:rPr>
            </w:pPr>
          </w:p>
        </w:tc>
      </w:tr>
      <w:tr w:rsidR="00C66AE0" w:rsidRPr="00E16344" w14:paraId="18B9ED8A" w14:textId="77777777" w:rsidTr="00C66AE0">
        <w:tc>
          <w:tcPr>
            <w:tcW w:w="8784" w:type="dxa"/>
          </w:tcPr>
          <w:p w14:paraId="723221EC" w14:textId="14248345" w:rsidR="005F0E72" w:rsidRPr="00E16344" w:rsidRDefault="000F67E6" w:rsidP="00A4324F">
            <w:pPr>
              <w:jc w:val="both"/>
              <w:rPr>
                <w:rFonts w:cstheme="minorHAnsi"/>
                <w:sz w:val="20"/>
                <w:szCs w:val="20"/>
              </w:rPr>
            </w:pPr>
            <w:r>
              <w:rPr>
                <w:rFonts w:cstheme="minorHAnsi"/>
                <w:sz w:val="20"/>
                <w:szCs w:val="20"/>
              </w:rPr>
              <w:t>Stakeholder 2</w:t>
            </w:r>
          </w:p>
          <w:p w14:paraId="084C57DE" w14:textId="77777777" w:rsidR="006B6675" w:rsidRPr="00E16344" w:rsidRDefault="006B6675" w:rsidP="00A4324F">
            <w:pPr>
              <w:jc w:val="both"/>
              <w:rPr>
                <w:rFonts w:cstheme="minorHAnsi"/>
                <w:sz w:val="20"/>
                <w:szCs w:val="20"/>
              </w:rPr>
            </w:pPr>
            <w:r w:rsidRPr="00E16344">
              <w:rPr>
                <w:rFonts w:cstheme="minorHAnsi"/>
                <w:sz w:val="20"/>
                <w:szCs w:val="20"/>
              </w:rPr>
              <w:lastRenderedPageBreak/>
              <w:t>Yes</w:t>
            </w:r>
          </w:p>
        </w:tc>
        <w:tc>
          <w:tcPr>
            <w:tcW w:w="5210" w:type="dxa"/>
          </w:tcPr>
          <w:p w14:paraId="73D3A04F" w14:textId="77777777" w:rsidR="005F0E72" w:rsidRPr="00E16344" w:rsidRDefault="005F0E72" w:rsidP="00A4324F">
            <w:pPr>
              <w:jc w:val="both"/>
              <w:rPr>
                <w:rFonts w:cstheme="minorHAnsi"/>
                <w:sz w:val="20"/>
                <w:szCs w:val="20"/>
              </w:rPr>
            </w:pPr>
          </w:p>
        </w:tc>
      </w:tr>
      <w:tr w:rsidR="00C66AE0" w:rsidRPr="00E16344" w14:paraId="64ED49A4" w14:textId="77777777" w:rsidTr="00C66AE0">
        <w:tc>
          <w:tcPr>
            <w:tcW w:w="8784" w:type="dxa"/>
          </w:tcPr>
          <w:p w14:paraId="2FDA7DE8" w14:textId="204F1046" w:rsidR="005F0E72" w:rsidRPr="00E16344" w:rsidRDefault="000F67E6" w:rsidP="00A4324F">
            <w:pPr>
              <w:jc w:val="both"/>
              <w:rPr>
                <w:rFonts w:cstheme="minorHAnsi"/>
                <w:sz w:val="20"/>
                <w:szCs w:val="20"/>
              </w:rPr>
            </w:pPr>
            <w:r>
              <w:rPr>
                <w:rFonts w:cstheme="minorHAnsi"/>
                <w:sz w:val="20"/>
                <w:szCs w:val="20"/>
              </w:rPr>
              <w:t xml:space="preserve">Stakeholder 3 </w:t>
            </w:r>
          </w:p>
          <w:p w14:paraId="6C1CFEA7" w14:textId="77777777" w:rsidR="00F362C6" w:rsidRPr="00E16344" w:rsidRDefault="00F362C6" w:rsidP="00A4324F">
            <w:pPr>
              <w:jc w:val="both"/>
              <w:rPr>
                <w:rFonts w:cstheme="minorHAnsi"/>
                <w:sz w:val="20"/>
                <w:szCs w:val="20"/>
              </w:rPr>
            </w:pPr>
            <w:r w:rsidRPr="00E16344">
              <w:rPr>
                <w:rFonts w:cstheme="minorHAnsi"/>
                <w:sz w:val="20"/>
                <w:szCs w:val="20"/>
              </w:rPr>
              <w:t>Question is not understood</w:t>
            </w:r>
          </w:p>
        </w:tc>
        <w:tc>
          <w:tcPr>
            <w:tcW w:w="5210" w:type="dxa"/>
          </w:tcPr>
          <w:p w14:paraId="2F62308C" w14:textId="77777777" w:rsidR="005F0E72" w:rsidRPr="00E16344" w:rsidRDefault="005F0E72" w:rsidP="00A4324F">
            <w:pPr>
              <w:jc w:val="both"/>
              <w:rPr>
                <w:rFonts w:cstheme="minorHAnsi"/>
                <w:sz w:val="20"/>
                <w:szCs w:val="20"/>
              </w:rPr>
            </w:pPr>
          </w:p>
        </w:tc>
      </w:tr>
      <w:tr w:rsidR="00C66AE0" w:rsidRPr="00E16344" w14:paraId="6A07D022" w14:textId="77777777" w:rsidTr="00C66AE0">
        <w:tc>
          <w:tcPr>
            <w:tcW w:w="8784" w:type="dxa"/>
          </w:tcPr>
          <w:p w14:paraId="7E2F1029" w14:textId="3564ECBA" w:rsidR="00F362C6" w:rsidRPr="00E16344" w:rsidRDefault="00E16344" w:rsidP="00A4324F">
            <w:pPr>
              <w:jc w:val="both"/>
              <w:rPr>
                <w:rFonts w:cstheme="minorHAnsi"/>
                <w:sz w:val="20"/>
                <w:szCs w:val="20"/>
              </w:rPr>
            </w:pPr>
            <w:r w:rsidRPr="00E16344">
              <w:rPr>
                <w:rFonts w:cstheme="minorHAnsi"/>
                <w:sz w:val="20"/>
                <w:szCs w:val="20"/>
              </w:rPr>
              <w:t xml:space="preserve">Stakeholder 4 </w:t>
            </w:r>
          </w:p>
          <w:p w14:paraId="6E8BF133" w14:textId="77777777" w:rsidR="00F362C6" w:rsidRPr="00E16344" w:rsidRDefault="00F362C6" w:rsidP="00A4324F">
            <w:pPr>
              <w:jc w:val="both"/>
              <w:rPr>
                <w:rFonts w:cstheme="minorHAnsi"/>
                <w:sz w:val="20"/>
                <w:szCs w:val="20"/>
              </w:rPr>
            </w:pPr>
            <w:r w:rsidRPr="00E16344">
              <w:rPr>
                <w:rFonts w:cstheme="minorHAnsi"/>
                <w:sz w:val="20"/>
                <w:szCs w:val="20"/>
              </w:rPr>
              <w:t>Yes</w:t>
            </w:r>
          </w:p>
        </w:tc>
        <w:tc>
          <w:tcPr>
            <w:tcW w:w="5210" w:type="dxa"/>
          </w:tcPr>
          <w:p w14:paraId="09B1188F" w14:textId="77777777" w:rsidR="00F362C6" w:rsidRPr="00E16344" w:rsidRDefault="00F362C6" w:rsidP="00A4324F">
            <w:pPr>
              <w:jc w:val="both"/>
              <w:rPr>
                <w:rFonts w:cstheme="minorHAnsi"/>
                <w:sz w:val="20"/>
                <w:szCs w:val="20"/>
              </w:rPr>
            </w:pPr>
          </w:p>
        </w:tc>
      </w:tr>
    </w:tbl>
    <w:p w14:paraId="48C88C4E" w14:textId="77777777" w:rsidR="00BE4C55" w:rsidRPr="00E16344" w:rsidRDefault="00BE4C55" w:rsidP="00A4324F">
      <w:pPr>
        <w:jc w:val="both"/>
        <w:rPr>
          <w:rFonts w:cstheme="minorHAnsi"/>
          <w:sz w:val="20"/>
          <w:szCs w:val="20"/>
        </w:rPr>
      </w:pPr>
    </w:p>
    <w:tbl>
      <w:tblPr>
        <w:tblStyle w:val="TableGrid"/>
        <w:tblW w:w="0" w:type="auto"/>
        <w:tblLook w:val="04A0" w:firstRow="1" w:lastRow="0" w:firstColumn="1" w:lastColumn="0" w:noHBand="0" w:noVBand="1"/>
      </w:tblPr>
      <w:tblGrid>
        <w:gridCol w:w="9067"/>
        <w:gridCol w:w="4927"/>
      </w:tblGrid>
      <w:tr w:rsidR="00C66AE0" w:rsidRPr="00E16344" w14:paraId="4211C996" w14:textId="77777777" w:rsidTr="003A0913">
        <w:tc>
          <w:tcPr>
            <w:tcW w:w="13994" w:type="dxa"/>
            <w:gridSpan w:val="2"/>
            <w:shd w:val="clear" w:color="auto" w:fill="E7E6E6" w:themeFill="background2"/>
          </w:tcPr>
          <w:p w14:paraId="50BB7203" w14:textId="77777777" w:rsidR="005F0E72" w:rsidRPr="00C83420" w:rsidRDefault="005F0E72" w:rsidP="00A4324F">
            <w:pPr>
              <w:jc w:val="both"/>
              <w:rPr>
                <w:rFonts w:asciiTheme="majorHAnsi" w:hAnsiTheme="majorHAnsi" w:cstheme="majorHAnsi"/>
                <w:b/>
                <w:sz w:val="26"/>
                <w:szCs w:val="26"/>
              </w:rPr>
            </w:pPr>
            <w:r w:rsidRPr="00C83420">
              <w:rPr>
                <w:rFonts w:asciiTheme="majorHAnsi" w:hAnsiTheme="majorHAnsi" w:cstheme="majorHAnsi"/>
                <w:b/>
                <w:sz w:val="26"/>
                <w:szCs w:val="26"/>
                <w:lang w:val="en-GB" w:eastAsia="en-GB"/>
              </w:rPr>
              <w:t>The proposed imbalance calculation methodology foresees, that the balancing costs of the TSO would be covered with the neutrality adjustment that will be added to daily imbalance price and adjusted at times. Do you have any comments regarding the methodology?</w:t>
            </w:r>
          </w:p>
        </w:tc>
      </w:tr>
      <w:tr w:rsidR="00C66AE0" w:rsidRPr="00E16344" w14:paraId="1AD3C0BD" w14:textId="77777777" w:rsidTr="00DF65C7">
        <w:tc>
          <w:tcPr>
            <w:tcW w:w="9067" w:type="dxa"/>
          </w:tcPr>
          <w:p w14:paraId="3F6F59EE" w14:textId="77777777" w:rsidR="005F0E72" w:rsidRPr="00E16344" w:rsidRDefault="005F0E72" w:rsidP="00A4324F">
            <w:pPr>
              <w:jc w:val="both"/>
              <w:rPr>
                <w:rFonts w:cstheme="minorHAnsi"/>
                <w:sz w:val="20"/>
                <w:szCs w:val="20"/>
              </w:rPr>
            </w:pPr>
            <w:r w:rsidRPr="00E16344">
              <w:rPr>
                <w:rFonts w:cstheme="minorHAnsi"/>
                <w:sz w:val="20"/>
                <w:szCs w:val="20"/>
              </w:rPr>
              <w:t>Stakeholder comment</w:t>
            </w:r>
          </w:p>
        </w:tc>
        <w:tc>
          <w:tcPr>
            <w:tcW w:w="4927" w:type="dxa"/>
          </w:tcPr>
          <w:p w14:paraId="2DD9E284" w14:textId="77777777" w:rsidR="005F0E72" w:rsidRPr="00E16344" w:rsidRDefault="005F0E72" w:rsidP="00A4324F">
            <w:pPr>
              <w:jc w:val="both"/>
              <w:rPr>
                <w:rFonts w:cstheme="minorHAnsi"/>
                <w:sz w:val="20"/>
                <w:szCs w:val="20"/>
              </w:rPr>
            </w:pPr>
            <w:r w:rsidRPr="00E16344">
              <w:rPr>
                <w:rFonts w:cstheme="minorHAnsi"/>
                <w:sz w:val="20"/>
                <w:szCs w:val="20"/>
              </w:rPr>
              <w:t>TSOs’ comment</w:t>
            </w:r>
          </w:p>
        </w:tc>
      </w:tr>
      <w:tr w:rsidR="00C66AE0" w:rsidRPr="00E16344" w14:paraId="62E8B922" w14:textId="77777777" w:rsidTr="00DF65C7">
        <w:tc>
          <w:tcPr>
            <w:tcW w:w="9067" w:type="dxa"/>
          </w:tcPr>
          <w:p w14:paraId="4895E3E2" w14:textId="5F110E4F" w:rsidR="005F0E72" w:rsidRPr="00E16344" w:rsidRDefault="000F67E6" w:rsidP="00A4324F">
            <w:pPr>
              <w:jc w:val="both"/>
              <w:rPr>
                <w:rFonts w:cstheme="minorHAnsi"/>
                <w:sz w:val="20"/>
                <w:szCs w:val="20"/>
              </w:rPr>
            </w:pPr>
            <w:r>
              <w:rPr>
                <w:rFonts w:cstheme="minorHAnsi"/>
                <w:sz w:val="20"/>
                <w:szCs w:val="20"/>
              </w:rPr>
              <w:t>Stakeholder 1</w:t>
            </w:r>
          </w:p>
          <w:p w14:paraId="39542B0C" w14:textId="77777777" w:rsidR="005F0E72" w:rsidRPr="00E16344" w:rsidRDefault="005F0E72" w:rsidP="00A4324F">
            <w:pPr>
              <w:jc w:val="both"/>
              <w:rPr>
                <w:rFonts w:eastAsia="Times New Roman" w:cstheme="minorHAnsi"/>
                <w:sz w:val="20"/>
                <w:szCs w:val="20"/>
                <w:lang w:val="en-GB" w:eastAsia="en-GB"/>
              </w:rPr>
            </w:pPr>
            <w:r w:rsidRPr="00E16344">
              <w:rPr>
                <w:rFonts w:eastAsia="Times New Roman" w:cstheme="minorHAnsi"/>
                <w:sz w:val="20"/>
                <w:szCs w:val="20"/>
                <w:lang w:val="en-GB" w:eastAsia="en-GB"/>
              </w:rPr>
              <w:t>Possibility to implement incentive factor of 10% at maximum and additional neutrality adjustment also 10% at maximum could lead to the situation where imbalance price differs by 21% from the average price at the trading platform.</w:t>
            </w:r>
          </w:p>
          <w:p w14:paraId="6D042BF2" w14:textId="77777777" w:rsidR="005F0E72" w:rsidRPr="00E16344" w:rsidRDefault="005F0E72" w:rsidP="00A4324F">
            <w:pPr>
              <w:jc w:val="both"/>
              <w:rPr>
                <w:rFonts w:eastAsia="Times New Roman" w:cstheme="minorHAnsi"/>
                <w:sz w:val="20"/>
                <w:szCs w:val="20"/>
                <w:lang w:val="en-GB" w:eastAsia="en-GB"/>
              </w:rPr>
            </w:pPr>
            <w:r w:rsidRPr="00E16344">
              <w:rPr>
                <w:rFonts w:eastAsia="Times New Roman" w:cstheme="minorHAnsi"/>
                <w:sz w:val="20"/>
                <w:szCs w:val="20"/>
                <w:lang w:val="en-GB" w:eastAsia="en-GB"/>
              </w:rPr>
              <w:t>The regulatory approval for the neutrality adjustment is needed.</w:t>
            </w:r>
          </w:p>
          <w:p w14:paraId="5416D2C8" w14:textId="77777777" w:rsidR="005F0E72" w:rsidRPr="00E16344" w:rsidRDefault="005F0E72" w:rsidP="00A4324F">
            <w:pPr>
              <w:jc w:val="both"/>
              <w:rPr>
                <w:rFonts w:cstheme="minorHAnsi"/>
                <w:sz w:val="20"/>
                <w:szCs w:val="20"/>
              </w:rPr>
            </w:pPr>
            <w:r w:rsidRPr="00E16344">
              <w:rPr>
                <w:rFonts w:eastAsia="Times New Roman" w:cstheme="minorHAnsi"/>
                <w:i/>
                <w:sz w:val="20"/>
                <w:szCs w:val="20"/>
                <w:lang w:val="en-GB" w:eastAsia="en-GB"/>
              </w:rPr>
              <w:t>(EU) No 312/2014 Art. 30 p.2 The national regulatory authority shall set or approve and publish the methodology for the calculation of the neutrality charges for balancing, including their apportionment amongst network users and credit risk management rules.</w:t>
            </w:r>
          </w:p>
        </w:tc>
        <w:tc>
          <w:tcPr>
            <w:tcW w:w="4927" w:type="dxa"/>
          </w:tcPr>
          <w:p w14:paraId="0AA123D8" w14:textId="5AAAE2CC" w:rsidR="005F0E72" w:rsidRPr="00E16344" w:rsidRDefault="00825F8D" w:rsidP="00A4324F">
            <w:pPr>
              <w:jc w:val="both"/>
              <w:rPr>
                <w:rFonts w:cstheme="minorHAnsi"/>
                <w:sz w:val="20"/>
                <w:szCs w:val="20"/>
              </w:rPr>
            </w:pPr>
            <w:r>
              <w:rPr>
                <w:rFonts w:cstheme="minorHAnsi"/>
                <w:sz w:val="20"/>
                <w:szCs w:val="20"/>
              </w:rPr>
              <w:t>The proposed imbalance price methodology</w:t>
            </w:r>
            <w:r w:rsidR="006F6E68">
              <w:rPr>
                <w:rFonts w:cstheme="minorHAnsi"/>
                <w:sz w:val="20"/>
                <w:szCs w:val="20"/>
              </w:rPr>
              <w:t xml:space="preserve"> included in the balancing rules</w:t>
            </w:r>
            <w:r>
              <w:rPr>
                <w:rFonts w:cstheme="minorHAnsi"/>
                <w:sz w:val="20"/>
                <w:szCs w:val="20"/>
              </w:rPr>
              <w:t xml:space="preserve"> will be submitted to both Estonian and Latvian NRAs for their approval.</w:t>
            </w:r>
          </w:p>
        </w:tc>
      </w:tr>
      <w:tr w:rsidR="00C66AE0" w:rsidRPr="00E16344" w14:paraId="59E83769" w14:textId="77777777" w:rsidTr="00DF65C7">
        <w:tc>
          <w:tcPr>
            <w:tcW w:w="9067" w:type="dxa"/>
          </w:tcPr>
          <w:p w14:paraId="151338E0" w14:textId="5EFF72F2" w:rsidR="005F0E72" w:rsidRPr="00E16344" w:rsidRDefault="000F67E6" w:rsidP="00A4324F">
            <w:pPr>
              <w:jc w:val="both"/>
              <w:rPr>
                <w:rFonts w:cstheme="minorHAnsi"/>
                <w:sz w:val="20"/>
                <w:szCs w:val="20"/>
              </w:rPr>
            </w:pPr>
            <w:r>
              <w:rPr>
                <w:rFonts w:cstheme="minorHAnsi"/>
                <w:sz w:val="20"/>
                <w:szCs w:val="20"/>
              </w:rPr>
              <w:t>Stakeholder 2</w:t>
            </w:r>
            <w:r w:rsidR="006B6675" w:rsidRPr="00E16344">
              <w:rPr>
                <w:rFonts w:cstheme="minorHAnsi"/>
                <w:sz w:val="20"/>
                <w:szCs w:val="20"/>
              </w:rPr>
              <w:t xml:space="preserve"> </w:t>
            </w:r>
          </w:p>
          <w:p w14:paraId="1D79B5F4" w14:textId="77777777" w:rsidR="006B6675" w:rsidRPr="00E16344" w:rsidRDefault="006B6675" w:rsidP="00A4324F">
            <w:pPr>
              <w:jc w:val="both"/>
              <w:rPr>
                <w:rFonts w:cstheme="minorHAnsi"/>
                <w:sz w:val="20"/>
                <w:szCs w:val="20"/>
              </w:rPr>
            </w:pPr>
            <w:r w:rsidRPr="00E16344">
              <w:rPr>
                <w:rFonts w:cstheme="minorHAnsi"/>
                <w:sz w:val="20"/>
                <w:szCs w:val="20"/>
              </w:rPr>
              <w:t>It is OK</w:t>
            </w:r>
          </w:p>
        </w:tc>
        <w:tc>
          <w:tcPr>
            <w:tcW w:w="4927" w:type="dxa"/>
          </w:tcPr>
          <w:p w14:paraId="61461D8B" w14:textId="77777777" w:rsidR="005F0E72" w:rsidRPr="00E16344" w:rsidRDefault="005F0E72" w:rsidP="00A4324F">
            <w:pPr>
              <w:jc w:val="both"/>
              <w:rPr>
                <w:rFonts w:cstheme="minorHAnsi"/>
                <w:sz w:val="20"/>
                <w:szCs w:val="20"/>
              </w:rPr>
            </w:pPr>
          </w:p>
        </w:tc>
      </w:tr>
      <w:tr w:rsidR="00C66AE0" w:rsidRPr="00E16344" w14:paraId="218DED48" w14:textId="77777777" w:rsidTr="00DF65C7">
        <w:tc>
          <w:tcPr>
            <w:tcW w:w="9067" w:type="dxa"/>
          </w:tcPr>
          <w:p w14:paraId="3CA28FC9" w14:textId="7BDA697E" w:rsidR="005F0E72" w:rsidRPr="00E16344" w:rsidRDefault="00E16344" w:rsidP="00A4324F">
            <w:pPr>
              <w:jc w:val="both"/>
              <w:rPr>
                <w:rFonts w:cstheme="minorHAnsi"/>
                <w:sz w:val="20"/>
                <w:szCs w:val="20"/>
              </w:rPr>
            </w:pPr>
            <w:r w:rsidRPr="00E16344">
              <w:rPr>
                <w:rFonts w:cstheme="minorHAnsi"/>
                <w:sz w:val="20"/>
                <w:szCs w:val="20"/>
              </w:rPr>
              <w:t xml:space="preserve">Stakeholder 3 </w:t>
            </w:r>
          </w:p>
          <w:p w14:paraId="4372E74A" w14:textId="77777777" w:rsidR="00F362C6" w:rsidRPr="00E16344" w:rsidRDefault="00F362C6" w:rsidP="00A4324F">
            <w:pPr>
              <w:jc w:val="both"/>
              <w:rPr>
                <w:rFonts w:cstheme="minorHAnsi"/>
                <w:sz w:val="20"/>
                <w:szCs w:val="20"/>
              </w:rPr>
            </w:pPr>
            <w:r w:rsidRPr="00E16344">
              <w:rPr>
                <w:rFonts w:cstheme="minorHAnsi"/>
                <w:sz w:val="20"/>
                <w:szCs w:val="20"/>
              </w:rPr>
              <w:t>No</w:t>
            </w:r>
          </w:p>
        </w:tc>
        <w:tc>
          <w:tcPr>
            <w:tcW w:w="4927" w:type="dxa"/>
          </w:tcPr>
          <w:p w14:paraId="2A1FD07C" w14:textId="77777777" w:rsidR="005F0E72" w:rsidRPr="00E16344" w:rsidRDefault="005F0E72" w:rsidP="00A4324F">
            <w:pPr>
              <w:jc w:val="both"/>
              <w:rPr>
                <w:rFonts w:cstheme="minorHAnsi"/>
                <w:sz w:val="20"/>
                <w:szCs w:val="20"/>
              </w:rPr>
            </w:pPr>
          </w:p>
        </w:tc>
      </w:tr>
      <w:tr w:rsidR="00F362C6" w:rsidRPr="00E16344" w14:paraId="2709074F" w14:textId="77777777" w:rsidTr="00DF65C7">
        <w:tc>
          <w:tcPr>
            <w:tcW w:w="9067" w:type="dxa"/>
          </w:tcPr>
          <w:p w14:paraId="5CD49A87" w14:textId="41972D75" w:rsidR="00F362C6" w:rsidRPr="00E16344" w:rsidRDefault="00E16344" w:rsidP="00A4324F">
            <w:pPr>
              <w:jc w:val="both"/>
              <w:rPr>
                <w:rFonts w:cstheme="minorHAnsi"/>
                <w:sz w:val="20"/>
                <w:szCs w:val="20"/>
              </w:rPr>
            </w:pPr>
            <w:r w:rsidRPr="00E16344">
              <w:rPr>
                <w:rFonts w:cstheme="minorHAnsi"/>
                <w:sz w:val="20"/>
                <w:szCs w:val="20"/>
              </w:rPr>
              <w:t xml:space="preserve">Stakeholder 4 </w:t>
            </w:r>
          </w:p>
          <w:p w14:paraId="63390FCC" w14:textId="77777777" w:rsidR="00F362C6" w:rsidRPr="00E16344" w:rsidRDefault="00F362C6" w:rsidP="00A4324F">
            <w:pPr>
              <w:jc w:val="both"/>
              <w:rPr>
                <w:rFonts w:cstheme="minorHAnsi"/>
                <w:sz w:val="20"/>
                <w:szCs w:val="20"/>
              </w:rPr>
            </w:pPr>
            <w:r w:rsidRPr="00E16344">
              <w:rPr>
                <w:rFonts w:eastAsia="Times New Roman" w:cstheme="minorHAnsi"/>
                <w:sz w:val="20"/>
                <w:szCs w:val="20"/>
                <w:lang w:val="en-GB" w:eastAsia="en-GB"/>
              </w:rPr>
              <w:t>As per aforementioned comment, both incentive factor and neutrality adjustment in one formula technically serves the same purpose. Therefore, we find it excessive and propose to exclude one or another.</w:t>
            </w:r>
          </w:p>
        </w:tc>
        <w:tc>
          <w:tcPr>
            <w:tcW w:w="4927" w:type="dxa"/>
          </w:tcPr>
          <w:p w14:paraId="1F1FEE63" w14:textId="77777777" w:rsidR="00F362C6" w:rsidRPr="00E16344" w:rsidRDefault="00F13E17" w:rsidP="00F13E17">
            <w:pPr>
              <w:jc w:val="both"/>
              <w:rPr>
                <w:rFonts w:cstheme="minorHAnsi"/>
                <w:sz w:val="20"/>
                <w:szCs w:val="20"/>
              </w:rPr>
            </w:pPr>
            <w:r>
              <w:rPr>
                <w:rFonts w:cstheme="minorHAnsi"/>
                <w:sz w:val="20"/>
                <w:szCs w:val="20"/>
              </w:rPr>
              <w:t xml:space="preserve">The neutrality adjustment removed from </w:t>
            </w:r>
            <w:r w:rsidR="00B30E2C">
              <w:rPr>
                <w:rFonts w:cstheme="minorHAnsi"/>
                <w:sz w:val="20"/>
                <w:szCs w:val="20"/>
              </w:rPr>
              <w:t>marginal sell or buy price formu</w:t>
            </w:r>
            <w:r>
              <w:rPr>
                <w:rFonts w:cstheme="minorHAnsi"/>
                <w:sz w:val="20"/>
                <w:szCs w:val="20"/>
              </w:rPr>
              <w:t xml:space="preserve">las. </w:t>
            </w:r>
            <w:r w:rsidR="00825F8D">
              <w:rPr>
                <w:rFonts w:cstheme="minorHAnsi"/>
                <w:sz w:val="20"/>
                <w:szCs w:val="20"/>
              </w:rPr>
              <w:t>The TSOs will clarify the calculation methodology in the rules.</w:t>
            </w:r>
          </w:p>
        </w:tc>
      </w:tr>
    </w:tbl>
    <w:p w14:paraId="206A3625" w14:textId="77777777" w:rsidR="00752AEC" w:rsidRPr="00E16344" w:rsidRDefault="00752AEC" w:rsidP="00A4324F">
      <w:pPr>
        <w:jc w:val="both"/>
        <w:rPr>
          <w:rFonts w:cstheme="minorHAnsi"/>
          <w:sz w:val="20"/>
          <w:szCs w:val="20"/>
        </w:rPr>
      </w:pPr>
    </w:p>
    <w:tbl>
      <w:tblPr>
        <w:tblStyle w:val="TableGrid"/>
        <w:tblW w:w="0" w:type="auto"/>
        <w:tblLook w:val="04A0" w:firstRow="1" w:lastRow="0" w:firstColumn="1" w:lastColumn="0" w:noHBand="0" w:noVBand="1"/>
      </w:tblPr>
      <w:tblGrid>
        <w:gridCol w:w="9067"/>
        <w:gridCol w:w="4927"/>
      </w:tblGrid>
      <w:tr w:rsidR="00C66AE0" w:rsidRPr="00E16344" w14:paraId="515A6619" w14:textId="77777777" w:rsidTr="003A0913">
        <w:tc>
          <w:tcPr>
            <w:tcW w:w="13994" w:type="dxa"/>
            <w:gridSpan w:val="2"/>
            <w:shd w:val="clear" w:color="auto" w:fill="E7E6E6" w:themeFill="background2"/>
          </w:tcPr>
          <w:p w14:paraId="25ABF81E" w14:textId="77777777" w:rsidR="005F0E72" w:rsidRPr="00C83420" w:rsidRDefault="005F0E72" w:rsidP="00A4324F">
            <w:pPr>
              <w:jc w:val="both"/>
              <w:rPr>
                <w:rFonts w:asciiTheme="majorHAnsi" w:hAnsiTheme="majorHAnsi" w:cstheme="majorHAnsi"/>
                <w:b/>
                <w:sz w:val="26"/>
                <w:szCs w:val="26"/>
              </w:rPr>
            </w:pPr>
            <w:r w:rsidRPr="00C83420">
              <w:rPr>
                <w:rFonts w:asciiTheme="majorHAnsi" w:hAnsiTheme="majorHAnsi" w:cstheme="majorHAnsi"/>
                <w:b/>
                <w:sz w:val="26"/>
                <w:szCs w:val="26"/>
                <w:lang w:val="en-GB" w:eastAsia="en-GB"/>
              </w:rPr>
              <w:t>Do you have any comments regarding the proposed timeline for the calculation of imbalance settlement reports and invoicing?</w:t>
            </w:r>
          </w:p>
        </w:tc>
      </w:tr>
      <w:tr w:rsidR="00C66AE0" w:rsidRPr="00E16344" w14:paraId="08779A81" w14:textId="77777777" w:rsidTr="00DF65C7">
        <w:tc>
          <w:tcPr>
            <w:tcW w:w="9067" w:type="dxa"/>
          </w:tcPr>
          <w:p w14:paraId="140BA6B3" w14:textId="77777777" w:rsidR="005F0E72" w:rsidRPr="00E16344" w:rsidRDefault="005F0E72" w:rsidP="00A4324F">
            <w:pPr>
              <w:jc w:val="both"/>
              <w:rPr>
                <w:rFonts w:cstheme="minorHAnsi"/>
                <w:sz w:val="20"/>
                <w:szCs w:val="20"/>
              </w:rPr>
            </w:pPr>
            <w:r w:rsidRPr="00E16344">
              <w:rPr>
                <w:rFonts w:cstheme="minorHAnsi"/>
                <w:sz w:val="20"/>
                <w:szCs w:val="20"/>
              </w:rPr>
              <w:t>Stakeholder comment</w:t>
            </w:r>
          </w:p>
        </w:tc>
        <w:tc>
          <w:tcPr>
            <w:tcW w:w="4927" w:type="dxa"/>
          </w:tcPr>
          <w:p w14:paraId="1E06DDCC" w14:textId="77777777" w:rsidR="005F0E72" w:rsidRPr="00E16344" w:rsidRDefault="005F0E72" w:rsidP="00A4324F">
            <w:pPr>
              <w:jc w:val="both"/>
              <w:rPr>
                <w:rFonts w:cstheme="minorHAnsi"/>
                <w:sz w:val="20"/>
                <w:szCs w:val="20"/>
              </w:rPr>
            </w:pPr>
            <w:r w:rsidRPr="00E16344">
              <w:rPr>
                <w:rFonts w:cstheme="minorHAnsi"/>
                <w:sz w:val="20"/>
                <w:szCs w:val="20"/>
              </w:rPr>
              <w:t>TSOs’ comment</w:t>
            </w:r>
          </w:p>
        </w:tc>
      </w:tr>
      <w:tr w:rsidR="00C66AE0" w:rsidRPr="00E16344" w14:paraId="6FF3D4D4" w14:textId="77777777" w:rsidTr="00DF65C7">
        <w:tc>
          <w:tcPr>
            <w:tcW w:w="9067" w:type="dxa"/>
          </w:tcPr>
          <w:p w14:paraId="6F6EED99" w14:textId="4F09BEBB" w:rsidR="00F362C6" w:rsidRPr="00E16344" w:rsidRDefault="000F67E6" w:rsidP="00A4324F">
            <w:pPr>
              <w:jc w:val="both"/>
              <w:rPr>
                <w:rFonts w:eastAsia="Times New Roman" w:cstheme="minorHAnsi"/>
                <w:sz w:val="20"/>
                <w:szCs w:val="20"/>
                <w:lang w:val="en-GB" w:eastAsia="en-GB"/>
              </w:rPr>
            </w:pPr>
            <w:r>
              <w:rPr>
                <w:rFonts w:eastAsia="Times New Roman" w:cstheme="minorHAnsi"/>
                <w:sz w:val="20"/>
                <w:szCs w:val="20"/>
                <w:lang w:val="en-GB" w:eastAsia="en-GB"/>
              </w:rPr>
              <w:t>Stakeholder 1</w:t>
            </w:r>
          </w:p>
          <w:p w14:paraId="0D9E0344" w14:textId="77777777" w:rsidR="005F0E72" w:rsidRPr="00E16344" w:rsidRDefault="005F0E72" w:rsidP="00A4324F">
            <w:pPr>
              <w:jc w:val="both"/>
              <w:rPr>
                <w:rFonts w:cstheme="minorHAnsi"/>
                <w:sz w:val="20"/>
                <w:szCs w:val="20"/>
              </w:rPr>
            </w:pPr>
            <w:r w:rsidRPr="00E16344">
              <w:rPr>
                <w:rFonts w:eastAsia="Times New Roman" w:cstheme="minorHAnsi"/>
                <w:sz w:val="20"/>
                <w:szCs w:val="20"/>
                <w:lang w:val="en-GB" w:eastAsia="en-GB"/>
              </w:rPr>
              <w:t>The extended timeline for determining the final daily imbalance quantities does not increase liquidity of short term (within-day) wholesale trading. The situation where daily imbalance quantity of network user’s portfolio is finally set several weeks after respective gas day does not encourage network users to trade daily products at the trading platform in order to reduce possible daily surplus or deficit of the portfolio.</w:t>
            </w:r>
          </w:p>
        </w:tc>
        <w:tc>
          <w:tcPr>
            <w:tcW w:w="4927" w:type="dxa"/>
          </w:tcPr>
          <w:p w14:paraId="01F004C6" w14:textId="77777777" w:rsidR="005F0E72" w:rsidRPr="00E16344" w:rsidRDefault="00825F8D" w:rsidP="00A4324F">
            <w:pPr>
              <w:jc w:val="both"/>
              <w:rPr>
                <w:rFonts w:cstheme="minorHAnsi"/>
                <w:sz w:val="20"/>
                <w:szCs w:val="20"/>
              </w:rPr>
            </w:pPr>
            <w:r>
              <w:rPr>
                <w:rFonts w:cstheme="minorHAnsi"/>
                <w:sz w:val="20"/>
                <w:szCs w:val="20"/>
              </w:rPr>
              <w:t>The TSOs will be providing the Network users with their initial imbalance on the following day (daily metered values + forecasted NDM).</w:t>
            </w:r>
            <w:r w:rsidR="00D10B00">
              <w:rPr>
                <w:rFonts w:cstheme="minorHAnsi"/>
                <w:sz w:val="20"/>
                <w:szCs w:val="20"/>
              </w:rPr>
              <w:t xml:space="preserve"> As the DSOs have to submit their final data by 7th of the following month, it is not possible to determine the definite imbalance before that deadline.</w:t>
            </w:r>
            <w:r>
              <w:rPr>
                <w:rFonts w:cstheme="minorHAnsi"/>
                <w:sz w:val="20"/>
                <w:szCs w:val="20"/>
              </w:rPr>
              <w:t xml:space="preserve"> </w:t>
            </w:r>
          </w:p>
        </w:tc>
      </w:tr>
      <w:tr w:rsidR="00C66AE0" w:rsidRPr="00E16344" w14:paraId="3DD696EB" w14:textId="77777777" w:rsidTr="00DF65C7">
        <w:tc>
          <w:tcPr>
            <w:tcW w:w="9067" w:type="dxa"/>
          </w:tcPr>
          <w:p w14:paraId="7838ABFF" w14:textId="0293C295" w:rsidR="005F0E72" w:rsidRPr="00E16344" w:rsidRDefault="000F67E6" w:rsidP="00A4324F">
            <w:pPr>
              <w:jc w:val="both"/>
              <w:rPr>
                <w:rFonts w:cstheme="minorHAnsi"/>
                <w:sz w:val="20"/>
                <w:szCs w:val="20"/>
              </w:rPr>
            </w:pPr>
            <w:r>
              <w:rPr>
                <w:rFonts w:cstheme="minorHAnsi"/>
                <w:sz w:val="20"/>
                <w:szCs w:val="20"/>
              </w:rPr>
              <w:t>Stakeholder 2</w:t>
            </w:r>
          </w:p>
          <w:p w14:paraId="312B4475" w14:textId="77777777" w:rsidR="00F362C6" w:rsidRPr="00E16344" w:rsidRDefault="00F362C6" w:rsidP="00A4324F">
            <w:pPr>
              <w:jc w:val="both"/>
              <w:rPr>
                <w:rFonts w:cstheme="minorHAnsi"/>
                <w:sz w:val="20"/>
                <w:szCs w:val="20"/>
              </w:rPr>
            </w:pPr>
            <w:r w:rsidRPr="00E16344">
              <w:rPr>
                <w:rFonts w:cstheme="minorHAnsi"/>
                <w:sz w:val="20"/>
                <w:szCs w:val="20"/>
              </w:rPr>
              <w:lastRenderedPageBreak/>
              <w:t>No</w:t>
            </w:r>
          </w:p>
        </w:tc>
        <w:tc>
          <w:tcPr>
            <w:tcW w:w="4927" w:type="dxa"/>
          </w:tcPr>
          <w:p w14:paraId="63EE08DB" w14:textId="77777777" w:rsidR="005F0E72" w:rsidRPr="00E16344" w:rsidRDefault="005F0E72" w:rsidP="00A4324F">
            <w:pPr>
              <w:jc w:val="both"/>
              <w:rPr>
                <w:rFonts w:cstheme="minorHAnsi"/>
                <w:sz w:val="20"/>
                <w:szCs w:val="20"/>
              </w:rPr>
            </w:pPr>
          </w:p>
        </w:tc>
      </w:tr>
      <w:tr w:rsidR="00C66AE0" w:rsidRPr="00E16344" w14:paraId="59183950" w14:textId="77777777" w:rsidTr="00DF65C7">
        <w:tc>
          <w:tcPr>
            <w:tcW w:w="9067" w:type="dxa"/>
          </w:tcPr>
          <w:p w14:paraId="6C689BA5" w14:textId="545D79AE" w:rsidR="005F0E72" w:rsidRPr="00E16344" w:rsidRDefault="00E16344" w:rsidP="00A4324F">
            <w:pPr>
              <w:jc w:val="both"/>
              <w:rPr>
                <w:rFonts w:cstheme="minorHAnsi"/>
                <w:sz w:val="20"/>
                <w:szCs w:val="20"/>
              </w:rPr>
            </w:pPr>
            <w:r w:rsidRPr="00E16344">
              <w:rPr>
                <w:rFonts w:cstheme="minorHAnsi"/>
                <w:sz w:val="20"/>
                <w:szCs w:val="20"/>
              </w:rPr>
              <w:t xml:space="preserve">Stakeholder 3 </w:t>
            </w:r>
          </w:p>
          <w:p w14:paraId="042806D3" w14:textId="77777777" w:rsidR="00F362C6" w:rsidRPr="00E16344" w:rsidRDefault="00F362C6" w:rsidP="00A4324F">
            <w:pPr>
              <w:jc w:val="both"/>
              <w:rPr>
                <w:rFonts w:cstheme="minorHAnsi"/>
                <w:sz w:val="20"/>
                <w:szCs w:val="20"/>
              </w:rPr>
            </w:pPr>
            <w:r w:rsidRPr="00E16344">
              <w:rPr>
                <w:rFonts w:cstheme="minorHAnsi"/>
                <w:sz w:val="20"/>
                <w:szCs w:val="20"/>
              </w:rPr>
              <w:t>No</w:t>
            </w:r>
          </w:p>
        </w:tc>
        <w:tc>
          <w:tcPr>
            <w:tcW w:w="4927" w:type="dxa"/>
          </w:tcPr>
          <w:p w14:paraId="0E9A8620" w14:textId="77777777" w:rsidR="005F0E72" w:rsidRPr="00E16344" w:rsidRDefault="005F0E72" w:rsidP="00A4324F">
            <w:pPr>
              <w:jc w:val="both"/>
              <w:rPr>
                <w:rFonts w:cstheme="minorHAnsi"/>
                <w:sz w:val="20"/>
                <w:szCs w:val="20"/>
              </w:rPr>
            </w:pPr>
          </w:p>
        </w:tc>
      </w:tr>
      <w:tr w:rsidR="00F362C6" w:rsidRPr="00E16344" w14:paraId="6FDFB812" w14:textId="77777777" w:rsidTr="00DF65C7">
        <w:tc>
          <w:tcPr>
            <w:tcW w:w="9067" w:type="dxa"/>
          </w:tcPr>
          <w:p w14:paraId="115B9B0A" w14:textId="7A3589BE" w:rsidR="00F362C6" w:rsidRPr="00E16344" w:rsidRDefault="00E16344" w:rsidP="00A4324F">
            <w:pPr>
              <w:jc w:val="both"/>
              <w:rPr>
                <w:rFonts w:cstheme="minorHAnsi"/>
                <w:sz w:val="20"/>
                <w:szCs w:val="20"/>
              </w:rPr>
            </w:pPr>
            <w:r w:rsidRPr="00E16344">
              <w:rPr>
                <w:rFonts w:cstheme="minorHAnsi"/>
                <w:sz w:val="20"/>
                <w:szCs w:val="20"/>
              </w:rPr>
              <w:t xml:space="preserve">Stakeholder 4 </w:t>
            </w:r>
          </w:p>
          <w:p w14:paraId="02579478" w14:textId="77777777" w:rsidR="00F362C6" w:rsidRPr="00E16344" w:rsidRDefault="00F362C6" w:rsidP="00A4324F">
            <w:pPr>
              <w:jc w:val="both"/>
              <w:rPr>
                <w:rFonts w:cstheme="minorHAnsi"/>
                <w:sz w:val="20"/>
                <w:szCs w:val="20"/>
              </w:rPr>
            </w:pPr>
            <w:r w:rsidRPr="00E16344">
              <w:rPr>
                <w:rFonts w:eastAsia="Times New Roman" w:cstheme="minorHAnsi"/>
                <w:sz w:val="20"/>
                <w:szCs w:val="20"/>
                <w:lang w:val="en-GB" w:eastAsia="en-GB"/>
              </w:rPr>
              <w:t>For financial reporting reasons we would see a huge advantage to receive invoices earlier than the 10th of the month. Every day earlier would be a great support.</w:t>
            </w:r>
          </w:p>
        </w:tc>
        <w:tc>
          <w:tcPr>
            <w:tcW w:w="4927" w:type="dxa"/>
          </w:tcPr>
          <w:p w14:paraId="74E77E28" w14:textId="77777777" w:rsidR="00F362C6" w:rsidRPr="00E16344" w:rsidRDefault="00D90004" w:rsidP="00A4324F">
            <w:pPr>
              <w:jc w:val="both"/>
              <w:rPr>
                <w:rFonts w:cstheme="minorHAnsi"/>
                <w:sz w:val="20"/>
                <w:szCs w:val="20"/>
              </w:rPr>
            </w:pPr>
            <w:r w:rsidRPr="00D7265A">
              <w:rPr>
                <w:sz w:val="20"/>
                <w:szCs w:val="20"/>
                <w:lang w:val="en-US"/>
              </w:rPr>
              <w:t>Proposal will be taken into account in future development. Currently date of allocation and invoicing is dependent on other deadlines which are set in national legislation and agreements between operators, changing of which will take considerable amount of time.</w:t>
            </w:r>
          </w:p>
        </w:tc>
      </w:tr>
    </w:tbl>
    <w:p w14:paraId="74A57EE6" w14:textId="77777777" w:rsidR="00752AEC" w:rsidRPr="00E16344" w:rsidRDefault="00752AEC" w:rsidP="00A4324F">
      <w:pPr>
        <w:jc w:val="both"/>
        <w:rPr>
          <w:rFonts w:cstheme="minorHAnsi"/>
          <w:sz w:val="20"/>
          <w:szCs w:val="20"/>
        </w:rPr>
      </w:pPr>
    </w:p>
    <w:tbl>
      <w:tblPr>
        <w:tblStyle w:val="TableGrid"/>
        <w:tblW w:w="0" w:type="auto"/>
        <w:tblLook w:val="04A0" w:firstRow="1" w:lastRow="0" w:firstColumn="1" w:lastColumn="0" w:noHBand="0" w:noVBand="1"/>
      </w:tblPr>
      <w:tblGrid>
        <w:gridCol w:w="9067"/>
        <w:gridCol w:w="4927"/>
      </w:tblGrid>
      <w:tr w:rsidR="00C66AE0" w:rsidRPr="00E16344" w14:paraId="4D8C4746" w14:textId="77777777" w:rsidTr="003A0913">
        <w:tc>
          <w:tcPr>
            <w:tcW w:w="13994" w:type="dxa"/>
            <w:gridSpan w:val="2"/>
            <w:shd w:val="clear" w:color="auto" w:fill="E7E6E6" w:themeFill="background2"/>
          </w:tcPr>
          <w:p w14:paraId="0C024135" w14:textId="77777777" w:rsidR="005F0E72" w:rsidRPr="00C83420" w:rsidRDefault="005F0E72" w:rsidP="00A4324F">
            <w:pPr>
              <w:jc w:val="both"/>
              <w:rPr>
                <w:rFonts w:asciiTheme="majorHAnsi" w:hAnsiTheme="majorHAnsi" w:cstheme="majorHAnsi"/>
                <w:b/>
                <w:sz w:val="26"/>
                <w:szCs w:val="26"/>
              </w:rPr>
            </w:pPr>
            <w:r w:rsidRPr="00C83420">
              <w:rPr>
                <w:rFonts w:asciiTheme="majorHAnsi" w:hAnsiTheme="majorHAnsi" w:cstheme="majorHAnsi"/>
                <w:b/>
                <w:sz w:val="26"/>
                <w:szCs w:val="26"/>
                <w:lang w:val="en-GB" w:eastAsia="en-GB"/>
              </w:rPr>
              <w:t>Do you have any additional comments to the balancing rules?</w:t>
            </w:r>
          </w:p>
        </w:tc>
      </w:tr>
      <w:tr w:rsidR="00C66AE0" w:rsidRPr="00E16344" w14:paraId="5274CB42" w14:textId="77777777" w:rsidTr="00DF65C7">
        <w:tc>
          <w:tcPr>
            <w:tcW w:w="9067" w:type="dxa"/>
          </w:tcPr>
          <w:p w14:paraId="19972B0A" w14:textId="77777777" w:rsidR="005F0E72" w:rsidRPr="00E16344" w:rsidRDefault="005F0E72" w:rsidP="00A4324F">
            <w:pPr>
              <w:jc w:val="both"/>
              <w:rPr>
                <w:rFonts w:cstheme="minorHAnsi"/>
                <w:sz w:val="20"/>
                <w:szCs w:val="20"/>
              </w:rPr>
            </w:pPr>
            <w:r w:rsidRPr="00E16344">
              <w:rPr>
                <w:rFonts w:cstheme="minorHAnsi"/>
                <w:sz w:val="20"/>
                <w:szCs w:val="20"/>
              </w:rPr>
              <w:t>Stakeholder comment</w:t>
            </w:r>
          </w:p>
        </w:tc>
        <w:tc>
          <w:tcPr>
            <w:tcW w:w="4927" w:type="dxa"/>
          </w:tcPr>
          <w:p w14:paraId="575AD39B" w14:textId="77777777" w:rsidR="005F0E72" w:rsidRPr="00E16344" w:rsidRDefault="005F0E72" w:rsidP="00A4324F">
            <w:pPr>
              <w:jc w:val="both"/>
              <w:rPr>
                <w:rFonts w:cstheme="minorHAnsi"/>
                <w:sz w:val="20"/>
                <w:szCs w:val="20"/>
              </w:rPr>
            </w:pPr>
            <w:r w:rsidRPr="00E16344">
              <w:rPr>
                <w:rFonts w:cstheme="minorHAnsi"/>
                <w:sz w:val="20"/>
                <w:szCs w:val="20"/>
              </w:rPr>
              <w:t>TSOs’ comment</w:t>
            </w:r>
          </w:p>
        </w:tc>
      </w:tr>
      <w:tr w:rsidR="00C66AE0" w:rsidRPr="00E16344" w14:paraId="362993F5" w14:textId="77777777" w:rsidTr="00DF65C7">
        <w:tc>
          <w:tcPr>
            <w:tcW w:w="9067" w:type="dxa"/>
          </w:tcPr>
          <w:p w14:paraId="65A676AB" w14:textId="0B62F61B" w:rsidR="005F0E72" w:rsidRPr="00E16344" w:rsidRDefault="000F67E6" w:rsidP="00A4324F">
            <w:pPr>
              <w:jc w:val="both"/>
              <w:rPr>
                <w:rFonts w:cstheme="minorHAnsi"/>
                <w:sz w:val="20"/>
                <w:szCs w:val="20"/>
              </w:rPr>
            </w:pPr>
            <w:r>
              <w:rPr>
                <w:rFonts w:cstheme="minorHAnsi"/>
                <w:sz w:val="20"/>
                <w:szCs w:val="20"/>
              </w:rPr>
              <w:t>Stakeholder 1</w:t>
            </w:r>
          </w:p>
          <w:p w14:paraId="3E237A34" w14:textId="77777777" w:rsidR="005F0E72" w:rsidRPr="00E16344" w:rsidRDefault="005F0E72" w:rsidP="00A4324F">
            <w:pPr>
              <w:pStyle w:val="ListParagraph"/>
              <w:numPr>
                <w:ilvl w:val="0"/>
                <w:numId w:val="4"/>
              </w:numPr>
              <w:spacing w:line="240" w:lineRule="auto"/>
              <w:jc w:val="both"/>
              <w:rPr>
                <w:rFonts w:cstheme="minorHAnsi"/>
                <w:sz w:val="20"/>
                <w:szCs w:val="20"/>
              </w:rPr>
            </w:pPr>
            <w:r w:rsidRPr="00E16344">
              <w:rPr>
                <w:rFonts w:cstheme="minorHAnsi"/>
                <w:sz w:val="20"/>
                <w:szCs w:val="20"/>
              </w:rPr>
              <w:t>8.8.2 The daily imbalance quantity shall be rounded to kWh – rounded to what number of decimals?</w:t>
            </w:r>
          </w:p>
          <w:p w14:paraId="7213EEEF" w14:textId="77777777" w:rsidR="005F0E72" w:rsidRPr="00E16344" w:rsidRDefault="005F0E72" w:rsidP="00A4324F">
            <w:pPr>
              <w:pStyle w:val="ListParagraph"/>
              <w:numPr>
                <w:ilvl w:val="0"/>
                <w:numId w:val="4"/>
              </w:numPr>
              <w:spacing w:line="240" w:lineRule="auto"/>
              <w:jc w:val="both"/>
              <w:rPr>
                <w:rFonts w:eastAsia="Times New Roman" w:cstheme="minorHAnsi"/>
                <w:sz w:val="20"/>
                <w:szCs w:val="20"/>
                <w:lang w:val="en-GB" w:eastAsia="en-GB"/>
              </w:rPr>
            </w:pPr>
            <w:r w:rsidRPr="00E16344">
              <w:rPr>
                <w:rFonts w:cstheme="minorHAnsi"/>
                <w:sz w:val="20"/>
                <w:szCs w:val="20"/>
                <w:lang w:val="en-GB" w:eastAsia="en-GB"/>
              </w:rPr>
              <w:t xml:space="preserve">8.3.6 </w:t>
            </w:r>
            <w:proofErr w:type="gramStart"/>
            <w:r w:rsidRPr="00E16344">
              <w:rPr>
                <w:rFonts w:cstheme="minorHAnsi"/>
                <w:sz w:val="20"/>
                <w:szCs w:val="20"/>
                <w:lang w:val="en-GB" w:eastAsia="en-GB"/>
              </w:rPr>
              <w:t>a</w:t>
            </w:r>
            <w:proofErr w:type="gramEnd"/>
            <w:r w:rsidRPr="00E16344">
              <w:rPr>
                <w:rFonts w:cstheme="minorHAnsi"/>
                <w:sz w:val="20"/>
                <w:szCs w:val="20"/>
                <w:lang w:val="en-GB" w:eastAsia="en-GB"/>
              </w:rPr>
              <w:t xml:space="preserve">) Costs and revenues of TSO arising from daily imbalance charges and within day charges </w:t>
            </w:r>
            <w:r w:rsidR="006B6675" w:rsidRPr="00E16344">
              <w:rPr>
                <w:rFonts w:cstheme="minorHAnsi"/>
                <w:sz w:val="20"/>
                <w:szCs w:val="20"/>
                <w:lang w:val="en-GB" w:eastAsia="en-GB"/>
              </w:rPr>
              <w:t xml:space="preserve">- </w:t>
            </w:r>
            <w:r w:rsidRPr="00E16344">
              <w:rPr>
                <w:rFonts w:eastAsia="Times New Roman" w:cstheme="minorHAnsi"/>
                <w:sz w:val="20"/>
                <w:szCs w:val="20"/>
                <w:lang w:val="en-GB" w:eastAsia="en-GB"/>
              </w:rPr>
              <w:t>What is “within day charges”?</w:t>
            </w:r>
          </w:p>
          <w:p w14:paraId="01C2430F" w14:textId="77777777" w:rsidR="006B6675" w:rsidRPr="00E16344" w:rsidRDefault="006B6675" w:rsidP="00A4324F">
            <w:pPr>
              <w:pStyle w:val="ListParagraph"/>
              <w:numPr>
                <w:ilvl w:val="0"/>
                <w:numId w:val="4"/>
              </w:numPr>
              <w:spacing w:line="240" w:lineRule="auto"/>
              <w:jc w:val="both"/>
              <w:rPr>
                <w:rFonts w:eastAsia="Times New Roman" w:cstheme="minorHAnsi"/>
                <w:sz w:val="20"/>
                <w:szCs w:val="20"/>
                <w:lang w:val="en-GB" w:eastAsia="en-GB"/>
              </w:rPr>
            </w:pPr>
            <w:r w:rsidRPr="00E16344">
              <w:rPr>
                <w:rFonts w:eastAsia="Times New Roman" w:cstheme="minorHAnsi"/>
                <w:sz w:val="20"/>
                <w:szCs w:val="20"/>
                <w:lang w:val="en-GB" w:eastAsia="en-GB"/>
              </w:rPr>
              <w:t>What is the purpose of p.8.3.7?</w:t>
            </w:r>
          </w:p>
          <w:p w14:paraId="14935039" w14:textId="77777777" w:rsidR="006B6675" w:rsidRPr="00E16344" w:rsidRDefault="006B6675" w:rsidP="00A4324F">
            <w:pPr>
              <w:pStyle w:val="ListParagraph"/>
              <w:numPr>
                <w:ilvl w:val="0"/>
                <w:numId w:val="4"/>
              </w:numPr>
              <w:spacing w:line="240" w:lineRule="auto"/>
              <w:jc w:val="both"/>
              <w:rPr>
                <w:rFonts w:cstheme="minorHAnsi"/>
                <w:sz w:val="20"/>
                <w:szCs w:val="20"/>
                <w:lang w:val="en-GB" w:eastAsia="en-GB"/>
              </w:rPr>
            </w:pPr>
            <w:r w:rsidRPr="00E16344">
              <w:rPr>
                <w:rFonts w:cstheme="minorHAnsi"/>
                <w:sz w:val="20"/>
                <w:szCs w:val="20"/>
                <w:lang w:val="en-GB" w:eastAsia="en-GB"/>
              </w:rPr>
              <w:t xml:space="preserve">9.4 In case a network user detects any discrepancies in the information provided under daily or monthly clearing, it shall inform the TSO and specify the discrepancy without delay. - </w:t>
            </w:r>
            <w:r w:rsidRPr="00E16344">
              <w:rPr>
                <w:rFonts w:eastAsia="Times New Roman" w:cstheme="minorHAnsi"/>
                <w:sz w:val="20"/>
                <w:szCs w:val="20"/>
                <w:lang w:val="en-GB" w:eastAsia="en-GB"/>
              </w:rPr>
              <w:t>The information used by the TSO in order to perform daily or monthly clearing in order to determine imbalance of network user’s portfolio is not 100% available to the network user (calculation of DSO network losses). A network user is not capable to detect all possible discrepancies. Therefore, if network user has not informed TSO of any discrepancies, it should not be interpreted as full release of TSO from responsibility for the discrepancies that may be revealed later.</w:t>
            </w:r>
          </w:p>
        </w:tc>
        <w:tc>
          <w:tcPr>
            <w:tcW w:w="4927" w:type="dxa"/>
          </w:tcPr>
          <w:p w14:paraId="72794FE8" w14:textId="77777777" w:rsidR="00037097" w:rsidRDefault="00825F8D" w:rsidP="00A4324F">
            <w:pPr>
              <w:jc w:val="both"/>
              <w:rPr>
                <w:rFonts w:cstheme="minorHAnsi"/>
                <w:sz w:val="20"/>
                <w:szCs w:val="20"/>
              </w:rPr>
            </w:pPr>
            <w:r>
              <w:rPr>
                <w:rFonts w:cstheme="minorHAnsi"/>
                <w:sz w:val="20"/>
                <w:szCs w:val="20"/>
              </w:rPr>
              <w:t>1. Will be specified in the rules</w:t>
            </w:r>
          </w:p>
          <w:p w14:paraId="32FB66C7" w14:textId="07B20C5F" w:rsidR="00825F8D" w:rsidRDefault="008548F2" w:rsidP="00A4324F">
            <w:pPr>
              <w:jc w:val="both"/>
              <w:rPr>
                <w:rFonts w:cstheme="minorHAnsi"/>
                <w:sz w:val="20"/>
                <w:szCs w:val="20"/>
              </w:rPr>
            </w:pPr>
            <w:r w:rsidRPr="00040430">
              <w:rPr>
                <w:rFonts w:cstheme="minorHAnsi"/>
                <w:sz w:val="20"/>
                <w:szCs w:val="20"/>
              </w:rPr>
              <w:t xml:space="preserve">2. </w:t>
            </w:r>
            <w:r w:rsidR="00076CD0">
              <w:rPr>
                <w:rFonts w:cstheme="minorHAnsi"/>
                <w:sz w:val="20"/>
                <w:szCs w:val="20"/>
              </w:rPr>
              <w:t>R</w:t>
            </w:r>
            <w:r w:rsidR="00F13E17">
              <w:rPr>
                <w:rFonts w:cstheme="minorHAnsi"/>
                <w:sz w:val="20"/>
                <w:szCs w:val="20"/>
              </w:rPr>
              <w:t>emoved from rules as within day charges not foreseen in these rules.</w:t>
            </w:r>
          </w:p>
          <w:p w14:paraId="71A29E8E" w14:textId="77777777" w:rsidR="00B836C2" w:rsidRDefault="00825F8D" w:rsidP="00A4324F">
            <w:pPr>
              <w:jc w:val="both"/>
              <w:rPr>
                <w:rFonts w:cstheme="minorHAnsi"/>
                <w:sz w:val="20"/>
                <w:szCs w:val="20"/>
              </w:rPr>
            </w:pPr>
            <w:r>
              <w:rPr>
                <w:rFonts w:cstheme="minorHAnsi"/>
                <w:sz w:val="20"/>
                <w:szCs w:val="20"/>
              </w:rPr>
              <w:t xml:space="preserve">3. </w:t>
            </w:r>
            <w:r w:rsidR="00B836C2">
              <w:rPr>
                <w:rFonts w:cstheme="minorHAnsi"/>
                <w:sz w:val="20"/>
                <w:szCs w:val="20"/>
              </w:rPr>
              <w:t>Will be amended in the rules, 8.3.7 shall be a factor considered when setting the neutrality adjustment.</w:t>
            </w:r>
          </w:p>
          <w:p w14:paraId="06A9AB9F" w14:textId="77777777" w:rsidR="00825F8D" w:rsidRPr="00E16344" w:rsidRDefault="00B836C2" w:rsidP="00A4324F">
            <w:pPr>
              <w:jc w:val="both"/>
              <w:rPr>
                <w:rFonts w:cstheme="minorHAnsi"/>
                <w:sz w:val="20"/>
                <w:szCs w:val="20"/>
              </w:rPr>
            </w:pPr>
            <w:r>
              <w:rPr>
                <w:rFonts w:cstheme="minorHAnsi"/>
                <w:sz w:val="20"/>
                <w:szCs w:val="20"/>
              </w:rPr>
              <w:t>4.  The TSO and network user have access to all the data used for calculating the monthly imbalance. For the correctness of measured data, the responsibility lies on the DSO.</w:t>
            </w:r>
            <w:r w:rsidR="008548F2">
              <w:rPr>
                <w:rFonts w:cstheme="minorHAnsi"/>
                <w:sz w:val="20"/>
                <w:szCs w:val="20"/>
              </w:rPr>
              <w:t xml:space="preserve"> </w:t>
            </w:r>
          </w:p>
        </w:tc>
      </w:tr>
      <w:tr w:rsidR="0043174E" w:rsidRPr="00E16344" w14:paraId="07816562" w14:textId="77777777" w:rsidTr="00C56887">
        <w:trPr>
          <w:trHeight w:val="6653"/>
        </w:trPr>
        <w:tc>
          <w:tcPr>
            <w:tcW w:w="9067" w:type="dxa"/>
          </w:tcPr>
          <w:p w14:paraId="741DE362" w14:textId="1CC6D2D5" w:rsidR="0043174E" w:rsidRPr="00E16344" w:rsidRDefault="000F67E6" w:rsidP="00A4324F">
            <w:pPr>
              <w:pStyle w:val="CommentText"/>
              <w:jc w:val="both"/>
              <w:rPr>
                <w:rFonts w:asciiTheme="minorHAnsi" w:hAnsiTheme="minorHAnsi" w:cstheme="minorHAnsi"/>
                <w:lang w:val="en-US"/>
              </w:rPr>
            </w:pPr>
            <w:r>
              <w:rPr>
                <w:rFonts w:asciiTheme="minorHAnsi" w:hAnsiTheme="minorHAnsi" w:cstheme="minorHAnsi"/>
                <w:lang w:val="en-US"/>
              </w:rPr>
              <w:lastRenderedPageBreak/>
              <w:t>Stakeholder 5</w:t>
            </w:r>
          </w:p>
          <w:p w14:paraId="39A92E73" w14:textId="77777777" w:rsidR="0043174E" w:rsidRPr="00E16344" w:rsidRDefault="0043174E" w:rsidP="00A4324F">
            <w:pPr>
              <w:pStyle w:val="CommentText"/>
              <w:numPr>
                <w:ilvl w:val="0"/>
                <w:numId w:val="14"/>
              </w:numPr>
              <w:jc w:val="both"/>
              <w:rPr>
                <w:rFonts w:asciiTheme="minorHAnsi" w:hAnsiTheme="minorHAnsi" w:cstheme="minorHAnsi"/>
                <w:lang w:val="en-US"/>
              </w:rPr>
            </w:pPr>
            <w:r w:rsidRPr="00E16344">
              <w:rPr>
                <w:rFonts w:asciiTheme="minorHAnsi" w:hAnsiTheme="minorHAnsi" w:cstheme="minorHAnsi"/>
                <w:lang w:val="en-US"/>
              </w:rPr>
              <w:t>Rules should lay a playing field for various kinds of infrastructure and set non-discriminatory rules for it, even for infrastructure which is currently non-existent and future planned infrastructure. We suggest defining terms and conditions which relates with LNG system operators (hereinafter </w:t>
            </w:r>
            <w:r w:rsidRPr="00E16344">
              <w:rPr>
                <w:rFonts w:asciiTheme="minorHAnsi" w:hAnsiTheme="minorHAnsi" w:cstheme="minorHAnsi"/>
                <w:b/>
                <w:lang w:val="en-US" w:eastAsia="lt-LT"/>
              </w:rPr>
              <w:t xml:space="preserve">– </w:t>
            </w:r>
            <w:r w:rsidRPr="00E16344">
              <w:rPr>
                <w:rFonts w:asciiTheme="minorHAnsi" w:hAnsiTheme="minorHAnsi" w:cstheme="minorHAnsi"/>
                <w:lang w:val="en-US"/>
              </w:rPr>
              <w:t>LNG SO) and biogas production in this document. This would ensure regulatory stability, transparency and does not harm legitimate market participants expectations.</w:t>
            </w:r>
          </w:p>
          <w:p w14:paraId="2A67B165" w14:textId="77777777" w:rsidR="0043174E" w:rsidRPr="00E16344" w:rsidRDefault="0043174E" w:rsidP="00A4324F">
            <w:pPr>
              <w:pStyle w:val="ListParagraph"/>
              <w:numPr>
                <w:ilvl w:val="0"/>
                <w:numId w:val="14"/>
              </w:numPr>
              <w:tabs>
                <w:tab w:val="left" w:pos="851"/>
              </w:tabs>
              <w:suppressAutoHyphens/>
              <w:spacing w:line="240" w:lineRule="auto"/>
              <w:jc w:val="both"/>
              <w:textAlignment w:val="baseline"/>
              <w:rPr>
                <w:rFonts w:cstheme="minorHAnsi"/>
                <w:sz w:val="20"/>
                <w:szCs w:val="20"/>
                <w:lang w:val="en-US" w:eastAsia="lt-LT"/>
              </w:rPr>
            </w:pPr>
            <w:r w:rsidRPr="00E16344">
              <w:rPr>
                <w:rFonts w:cstheme="minorHAnsi"/>
                <w:sz w:val="20"/>
                <w:szCs w:val="20"/>
                <w:lang w:val="en-US" w:eastAsia="lt-LT"/>
              </w:rPr>
              <w:t xml:space="preserve">All Annexes of the Rules should be publicly consulted as well as they are considered as an integral part of the Rules. This include credit risk management rules, standard balancing agreement, </w:t>
            </w:r>
            <w:proofErr w:type="gramStart"/>
            <w:r w:rsidRPr="00E16344">
              <w:rPr>
                <w:rFonts w:cstheme="minorHAnsi"/>
                <w:sz w:val="20"/>
                <w:szCs w:val="20"/>
                <w:lang w:val="en-US" w:eastAsia="lt-LT"/>
              </w:rPr>
              <w:t>balancing</w:t>
            </w:r>
            <w:proofErr w:type="gramEnd"/>
            <w:r w:rsidRPr="00E16344">
              <w:rPr>
                <w:rFonts w:cstheme="minorHAnsi"/>
                <w:sz w:val="20"/>
                <w:szCs w:val="20"/>
                <w:lang w:val="en-US" w:eastAsia="lt-LT"/>
              </w:rPr>
              <w:t xml:space="preserve"> responsible party terms.</w:t>
            </w:r>
          </w:p>
          <w:p w14:paraId="670D2B55" w14:textId="77777777" w:rsidR="0043174E" w:rsidRPr="00E16344" w:rsidRDefault="0043174E" w:rsidP="00A4324F">
            <w:pPr>
              <w:pStyle w:val="ListParagraph"/>
              <w:numPr>
                <w:ilvl w:val="0"/>
                <w:numId w:val="14"/>
              </w:numPr>
              <w:tabs>
                <w:tab w:val="left" w:pos="851"/>
              </w:tabs>
              <w:suppressAutoHyphens/>
              <w:spacing w:line="240" w:lineRule="auto"/>
              <w:jc w:val="both"/>
              <w:textAlignment w:val="baseline"/>
              <w:rPr>
                <w:rFonts w:cstheme="minorHAnsi"/>
                <w:sz w:val="20"/>
                <w:szCs w:val="20"/>
                <w:lang w:val="en-US" w:eastAsia="lt-LT"/>
              </w:rPr>
            </w:pPr>
            <w:r w:rsidRPr="00E16344">
              <w:rPr>
                <w:rFonts w:cstheme="minorHAnsi"/>
                <w:sz w:val="20"/>
                <w:szCs w:val="20"/>
                <w:lang w:val="en-US" w:eastAsia="lt-LT"/>
              </w:rPr>
              <w:t>Concepts which are named as the definitions in the definitions section 2 is not consistently used within the document also, their names are not used consistently as well. Names changes throughout the document. We ask to use only one definition to describe the same concept in order to prevent misinterpretations and legal uncertainties. Please adjust the terminology used in all document. Also, we encourage to use same sentence structures as used in applicable EU natural gas legislation.</w:t>
            </w:r>
          </w:p>
          <w:p w14:paraId="7F444C31" w14:textId="77777777" w:rsidR="0043174E" w:rsidRPr="00E16344" w:rsidDel="00EF467B" w:rsidRDefault="0043174E" w:rsidP="00A4324F">
            <w:pPr>
              <w:pStyle w:val="CommentText"/>
              <w:numPr>
                <w:ilvl w:val="0"/>
                <w:numId w:val="14"/>
              </w:numPr>
              <w:jc w:val="both"/>
              <w:rPr>
                <w:rFonts w:asciiTheme="minorHAnsi" w:hAnsiTheme="minorHAnsi" w:cstheme="minorHAnsi"/>
                <w:lang w:val="en-US"/>
              </w:rPr>
            </w:pPr>
            <w:r w:rsidRPr="00E16344">
              <w:rPr>
                <w:rFonts w:asciiTheme="minorHAnsi" w:hAnsiTheme="minorHAnsi" w:cstheme="minorHAnsi"/>
                <w:lang w:val="en-US"/>
              </w:rPr>
              <w:t xml:space="preserve">We encourage TSO to collect and store data regarding network users’ imbalance during the day in order to monitor their </w:t>
            </w:r>
            <w:proofErr w:type="spellStart"/>
            <w:r w:rsidRPr="00E16344">
              <w:rPr>
                <w:rFonts w:asciiTheme="minorHAnsi" w:hAnsiTheme="minorHAnsi" w:cstheme="minorHAnsi"/>
                <w:lang w:val="en-US"/>
              </w:rPr>
              <w:t>behavioural</w:t>
            </w:r>
            <w:proofErr w:type="spellEnd"/>
            <w:r w:rsidRPr="00E16344">
              <w:rPr>
                <w:rFonts w:asciiTheme="minorHAnsi" w:hAnsiTheme="minorHAnsi" w:cstheme="minorHAnsi"/>
                <w:lang w:val="en-US"/>
              </w:rPr>
              <w:t xml:space="preserve"> changes due to the amendment of the balancing rules. In the future a cost benefit analysis defined in the Commission Regulation (EU) No 312/2014 of 26 March 2014 establishing a Network Code on Gas Balancing of Transmission Networks (hereinafter – BAL NC) Art. 38 could be carried out by analyzing this data.</w:t>
            </w:r>
          </w:p>
          <w:p w14:paraId="7A2BFEB7" w14:textId="77777777" w:rsidR="0043174E" w:rsidRPr="00E16344" w:rsidRDefault="0043174E" w:rsidP="00A4324F">
            <w:pPr>
              <w:pStyle w:val="BodyText"/>
              <w:numPr>
                <w:ilvl w:val="0"/>
                <w:numId w:val="14"/>
              </w:numPr>
              <w:jc w:val="both"/>
              <w:rPr>
                <w:rFonts w:asciiTheme="minorHAnsi" w:hAnsiTheme="minorHAnsi" w:cstheme="minorHAnsi"/>
                <w:sz w:val="20"/>
                <w:szCs w:val="20"/>
                <w:lang w:val="en-US"/>
              </w:rPr>
            </w:pPr>
            <w:r w:rsidRPr="00E16344">
              <w:rPr>
                <w:rFonts w:asciiTheme="minorHAnsi" w:hAnsiTheme="minorHAnsi" w:cstheme="minorHAnsi"/>
                <w:sz w:val="20"/>
                <w:szCs w:val="20"/>
                <w:lang w:val="en-US"/>
              </w:rPr>
              <w:t>Future of previous day product defined in the Get Baltic UAB gas exchange is questioned since such products could not be applied regarding BAL NC provisions.</w:t>
            </w:r>
            <w:r w:rsidR="00037097" w:rsidRPr="00E16344">
              <w:rPr>
                <w:rFonts w:asciiTheme="minorHAnsi" w:hAnsiTheme="minorHAnsi" w:cstheme="minorHAnsi"/>
                <w:sz w:val="20"/>
                <w:szCs w:val="20"/>
                <w:lang w:val="en-US"/>
              </w:rPr>
              <w:t xml:space="preserve"> </w:t>
            </w:r>
            <w:r w:rsidRPr="00E16344">
              <w:rPr>
                <w:rFonts w:asciiTheme="minorHAnsi" w:hAnsiTheme="minorHAnsi" w:cstheme="minorHAnsi"/>
                <w:sz w:val="20"/>
                <w:szCs w:val="20"/>
                <w:lang w:val="en-US"/>
              </w:rPr>
              <w:t>We will inform AB „Amber Grid“ and initiate changing our national rules as well regarding this issue as well.</w:t>
            </w:r>
          </w:p>
          <w:p w14:paraId="04D7A9B2" w14:textId="77777777" w:rsidR="0043174E" w:rsidRPr="00E16344" w:rsidRDefault="0043174E" w:rsidP="00A4324F">
            <w:pPr>
              <w:pStyle w:val="ListParagraph"/>
              <w:numPr>
                <w:ilvl w:val="0"/>
                <w:numId w:val="14"/>
              </w:numPr>
              <w:suppressAutoHyphens/>
              <w:spacing w:line="240" w:lineRule="auto"/>
              <w:jc w:val="both"/>
              <w:rPr>
                <w:rFonts w:cstheme="minorHAnsi"/>
                <w:sz w:val="20"/>
                <w:szCs w:val="20"/>
                <w:lang w:val="en-US" w:eastAsia="lt-LT"/>
              </w:rPr>
            </w:pPr>
            <w:r w:rsidRPr="00E16344">
              <w:rPr>
                <w:rFonts w:cstheme="minorHAnsi"/>
                <w:sz w:val="20"/>
                <w:szCs w:val="20"/>
                <w:lang w:val="en-US" w:eastAsia="lt-LT"/>
              </w:rPr>
              <w:t>It is not clear how TSOs plans to implement other BAL NC direct requirements which are not in the Rules scope. E.g. requirements to publish information on a webpage – balancing transparency requirement. Thus, such provisions could be consulted as well.</w:t>
            </w:r>
          </w:p>
          <w:p w14:paraId="6095C4D7" w14:textId="77777777" w:rsidR="0043174E" w:rsidRPr="00E16344" w:rsidRDefault="0043174E" w:rsidP="00A4324F">
            <w:pPr>
              <w:pStyle w:val="ListParagraph"/>
              <w:numPr>
                <w:ilvl w:val="0"/>
                <w:numId w:val="14"/>
              </w:numPr>
              <w:suppressAutoHyphens/>
              <w:spacing w:line="240" w:lineRule="auto"/>
              <w:jc w:val="both"/>
              <w:rPr>
                <w:rFonts w:cstheme="minorHAnsi"/>
                <w:sz w:val="20"/>
                <w:szCs w:val="20"/>
                <w:lang w:val="en-US"/>
              </w:rPr>
            </w:pPr>
            <w:r w:rsidRPr="00E16344">
              <w:rPr>
                <w:rFonts w:cstheme="minorHAnsi"/>
                <w:sz w:val="20"/>
                <w:szCs w:val="20"/>
                <w:lang w:val="en-US" w:eastAsia="lt-LT"/>
              </w:rPr>
              <w:t>BAL NC Art. 34–35 provisions related with daily and intraday metered gas quantities are not covered by the Balancing rules. We suggest to amending the Balancing rules by covering these topics.</w:t>
            </w:r>
          </w:p>
        </w:tc>
        <w:tc>
          <w:tcPr>
            <w:tcW w:w="4927" w:type="dxa"/>
          </w:tcPr>
          <w:p w14:paraId="6CAD4844" w14:textId="77777777" w:rsidR="0043174E" w:rsidRPr="00040430" w:rsidRDefault="00A4324F" w:rsidP="00A4324F">
            <w:pPr>
              <w:pStyle w:val="ListParagraph"/>
              <w:numPr>
                <w:ilvl w:val="0"/>
                <w:numId w:val="25"/>
              </w:numPr>
              <w:spacing w:line="240" w:lineRule="auto"/>
              <w:jc w:val="both"/>
              <w:rPr>
                <w:rFonts w:cstheme="minorHAnsi"/>
                <w:sz w:val="20"/>
                <w:szCs w:val="20"/>
              </w:rPr>
            </w:pPr>
            <w:r w:rsidRPr="00C56887">
              <w:rPr>
                <w:rFonts w:cstheme="minorHAnsi"/>
                <w:sz w:val="20"/>
                <w:szCs w:val="20"/>
              </w:rPr>
              <w:t xml:space="preserve">Proposal taken into account regarding Network rules, but the TSOs do not see that adding LNG and biogas production to the </w:t>
            </w:r>
            <w:r w:rsidRPr="00040430">
              <w:rPr>
                <w:rFonts w:cstheme="minorHAnsi"/>
                <w:sz w:val="20"/>
                <w:szCs w:val="20"/>
              </w:rPr>
              <w:t xml:space="preserve">balancing rules is relevant. </w:t>
            </w:r>
          </w:p>
          <w:p w14:paraId="4EBA4294" w14:textId="7FD94BEE" w:rsidR="00037097" w:rsidRPr="00040430" w:rsidRDefault="00037097" w:rsidP="00A4324F">
            <w:pPr>
              <w:pStyle w:val="ListParagraph"/>
              <w:numPr>
                <w:ilvl w:val="0"/>
                <w:numId w:val="25"/>
              </w:numPr>
              <w:spacing w:line="240" w:lineRule="auto"/>
              <w:jc w:val="both"/>
              <w:rPr>
                <w:rFonts w:cstheme="minorHAnsi"/>
                <w:sz w:val="20"/>
                <w:szCs w:val="20"/>
              </w:rPr>
            </w:pPr>
            <w:r w:rsidRPr="00040430">
              <w:rPr>
                <w:rFonts w:cstheme="minorHAnsi"/>
                <w:sz w:val="20"/>
                <w:szCs w:val="20"/>
                <w:lang w:val="en-US" w:eastAsia="lt-LT"/>
              </w:rPr>
              <w:t>Credit risk management and balance responsibility rules are set in these rules</w:t>
            </w:r>
            <w:r w:rsidR="005942E2" w:rsidRPr="00040430">
              <w:rPr>
                <w:rFonts w:cstheme="minorHAnsi"/>
                <w:sz w:val="20"/>
                <w:szCs w:val="20"/>
                <w:lang w:val="en-US" w:eastAsia="lt-LT"/>
              </w:rPr>
              <w:t xml:space="preserve">. </w:t>
            </w:r>
            <w:r w:rsidR="00076CD0" w:rsidRPr="00040430">
              <w:rPr>
                <w:rFonts w:cstheme="minorHAnsi"/>
                <w:sz w:val="20"/>
                <w:szCs w:val="20"/>
              </w:rPr>
              <w:t xml:space="preserve"> Credit risk management rules will be attached as an annex to the rules, showing the differences between the applicable LV and EE legal regimes.</w:t>
            </w:r>
          </w:p>
          <w:p w14:paraId="5A98F491" w14:textId="2571DCA2" w:rsidR="00D10B00" w:rsidRPr="00040430" w:rsidRDefault="00D10B00" w:rsidP="00076CD0">
            <w:pPr>
              <w:pStyle w:val="ListParagraph"/>
              <w:spacing w:line="240" w:lineRule="auto"/>
              <w:ind w:left="360"/>
              <w:jc w:val="both"/>
              <w:rPr>
                <w:rFonts w:cstheme="minorHAnsi"/>
                <w:sz w:val="20"/>
                <w:szCs w:val="20"/>
              </w:rPr>
            </w:pPr>
            <w:r w:rsidRPr="00040430">
              <w:rPr>
                <w:rFonts w:cstheme="minorHAnsi"/>
                <w:sz w:val="20"/>
                <w:szCs w:val="20"/>
                <w:lang w:val="en-US"/>
              </w:rPr>
              <w:t xml:space="preserve">The </w:t>
            </w:r>
            <w:r w:rsidR="007B0257" w:rsidRPr="00040430">
              <w:rPr>
                <w:rFonts w:cstheme="minorHAnsi"/>
                <w:sz w:val="20"/>
                <w:szCs w:val="20"/>
                <w:lang w:val="en-US"/>
              </w:rPr>
              <w:t xml:space="preserve">standard balancing </w:t>
            </w:r>
            <w:r w:rsidRPr="00040430">
              <w:rPr>
                <w:rFonts w:cstheme="minorHAnsi"/>
                <w:sz w:val="20"/>
                <w:szCs w:val="20"/>
                <w:lang w:val="en-US"/>
              </w:rPr>
              <w:t xml:space="preserve">agreement in its essence will </w:t>
            </w:r>
            <w:r w:rsidR="007B0257" w:rsidRPr="00040430">
              <w:rPr>
                <w:rFonts w:cstheme="minorHAnsi"/>
                <w:sz w:val="20"/>
                <w:szCs w:val="20"/>
                <w:lang w:val="en-US"/>
              </w:rPr>
              <w:t>be the accession document to the common balancing zone, while the substantial parts governing the conditions of the agreement will be established in the balancing rules.</w:t>
            </w:r>
            <w:r w:rsidR="00F758E1" w:rsidRPr="00040430">
              <w:rPr>
                <w:rFonts w:cstheme="minorHAnsi"/>
                <w:sz w:val="20"/>
                <w:szCs w:val="20"/>
                <w:lang w:val="en-US"/>
              </w:rPr>
              <w:t xml:space="preserve"> In the view of TSOs such approach promotes the legal certainty and ensures the equal treatment to the market participants, providing that any amendments to the contractual relations between the TSO and the network user are made only following the amendments to the balancing rules agreed jointly between the TSOs and coordinated with the NRAs.</w:t>
            </w:r>
          </w:p>
          <w:p w14:paraId="38EB3F7C" w14:textId="77777777" w:rsidR="00037097" w:rsidRPr="00040430" w:rsidRDefault="005942E2" w:rsidP="00A4324F">
            <w:pPr>
              <w:pStyle w:val="ListParagraph"/>
              <w:numPr>
                <w:ilvl w:val="0"/>
                <w:numId w:val="25"/>
              </w:numPr>
              <w:spacing w:line="240" w:lineRule="auto"/>
              <w:jc w:val="both"/>
              <w:rPr>
                <w:rFonts w:cstheme="minorHAnsi"/>
                <w:sz w:val="20"/>
                <w:szCs w:val="20"/>
              </w:rPr>
            </w:pPr>
            <w:r w:rsidRPr="00040430">
              <w:rPr>
                <w:rFonts w:cstheme="minorHAnsi"/>
                <w:sz w:val="20"/>
                <w:szCs w:val="20"/>
                <w:lang w:val="en-US" w:eastAsia="lt-LT"/>
              </w:rPr>
              <w:t>The TSOs will amend the rules accordingly.</w:t>
            </w:r>
          </w:p>
          <w:p w14:paraId="33EF4599" w14:textId="77777777" w:rsidR="00037097" w:rsidRPr="00E16344" w:rsidRDefault="00037097" w:rsidP="00A4324F">
            <w:pPr>
              <w:pStyle w:val="CommentText"/>
              <w:numPr>
                <w:ilvl w:val="0"/>
                <w:numId w:val="25"/>
              </w:numPr>
              <w:jc w:val="both"/>
              <w:rPr>
                <w:rFonts w:asciiTheme="minorHAnsi" w:hAnsiTheme="minorHAnsi" w:cstheme="minorHAnsi"/>
                <w:lang w:val="en-US"/>
              </w:rPr>
            </w:pPr>
            <w:r w:rsidRPr="00040430">
              <w:rPr>
                <w:rFonts w:asciiTheme="minorHAnsi" w:hAnsiTheme="minorHAnsi" w:cstheme="minorHAnsi"/>
                <w:lang w:val="en-US"/>
              </w:rPr>
              <w:t>TSOs are following the national rules</w:t>
            </w:r>
            <w:r w:rsidRPr="00E16344">
              <w:rPr>
                <w:rFonts w:asciiTheme="minorHAnsi" w:hAnsiTheme="minorHAnsi" w:cstheme="minorHAnsi"/>
                <w:lang w:val="en-US"/>
              </w:rPr>
              <w:t xml:space="preserve"> according storage of information used for invoicing. As the information on the users’ imbalance falls in this category, TSOs already comply </w:t>
            </w:r>
            <w:proofErr w:type="gramStart"/>
            <w:r w:rsidRPr="00E16344">
              <w:rPr>
                <w:rFonts w:asciiTheme="minorHAnsi" w:hAnsiTheme="minorHAnsi" w:cstheme="minorHAnsi"/>
                <w:lang w:val="en-US"/>
              </w:rPr>
              <w:t>to</w:t>
            </w:r>
            <w:proofErr w:type="gramEnd"/>
            <w:r w:rsidRPr="00E16344">
              <w:rPr>
                <w:rFonts w:asciiTheme="minorHAnsi" w:hAnsiTheme="minorHAnsi" w:cstheme="minorHAnsi"/>
                <w:lang w:val="en-US"/>
              </w:rPr>
              <w:t xml:space="preserve"> it. Regarding application of BAL NC Art 38, the date for CBA analysis is already bygone. However TSOs are putting all efforts to minimization of the balancing costs to network user, </w:t>
            </w:r>
            <w:proofErr w:type="gramStart"/>
            <w:r w:rsidRPr="00E16344">
              <w:rPr>
                <w:rFonts w:asciiTheme="minorHAnsi" w:hAnsiTheme="minorHAnsi" w:cstheme="minorHAnsi"/>
                <w:lang w:val="en-US"/>
              </w:rPr>
              <w:t>providing  the</w:t>
            </w:r>
            <w:proofErr w:type="gramEnd"/>
            <w:r w:rsidRPr="00E16344">
              <w:rPr>
                <w:rFonts w:asciiTheme="minorHAnsi" w:hAnsiTheme="minorHAnsi" w:cstheme="minorHAnsi"/>
                <w:lang w:val="en-US"/>
              </w:rPr>
              <w:t xml:space="preserve"> mechanism described in the Art. 8.3 </w:t>
            </w:r>
            <w:proofErr w:type="gramStart"/>
            <w:r w:rsidRPr="00E16344">
              <w:rPr>
                <w:rFonts w:asciiTheme="minorHAnsi" w:hAnsiTheme="minorHAnsi" w:cstheme="minorHAnsi"/>
                <w:lang w:val="en-US"/>
              </w:rPr>
              <w:t>of</w:t>
            </w:r>
            <w:proofErr w:type="gramEnd"/>
            <w:r w:rsidRPr="00E16344">
              <w:rPr>
                <w:rFonts w:asciiTheme="minorHAnsi" w:hAnsiTheme="minorHAnsi" w:cstheme="minorHAnsi"/>
                <w:lang w:val="en-US"/>
              </w:rPr>
              <w:t xml:space="preserve"> these rules.</w:t>
            </w:r>
          </w:p>
          <w:p w14:paraId="7D4DD858" w14:textId="68CBA5A4" w:rsidR="00037097" w:rsidRPr="00E16344" w:rsidRDefault="00037097" w:rsidP="00A4324F">
            <w:pPr>
              <w:pStyle w:val="CommentText"/>
              <w:numPr>
                <w:ilvl w:val="0"/>
                <w:numId w:val="25"/>
              </w:numPr>
              <w:jc w:val="both"/>
              <w:rPr>
                <w:rFonts w:asciiTheme="minorHAnsi" w:hAnsiTheme="minorHAnsi" w:cstheme="minorHAnsi"/>
                <w:lang w:val="en-US"/>
              </w:rPr>
            </w:pPr>
            <w:r w:rsidRPr="00E16344">
              <w:rPr>
                <w:rFonts w:asciiTheme="minorHAnsi" w:hAnsiTheme="minorHAnsi" w:cstheme="minorHAnsi"/>
                <w:lang w:val="en-US"/>
              </w:rPr>
              <w:t xml:space="preserve">No comments, </w:t>
            </w:r>
            <w:r w:rsidR="006F6E68">
              <w:rPr>
                <w:rFonts w:asciiTheme="minorHAnsi" w:hAnsiTheme="minorHAnsi" w:cstheme="minorHAnsi"/>
                <w:lang w:val="en-US"/>
              </w:rPr>
              <w:t>TSOs</w:t>
            </w:r>
            <w:r w:rsidRPr="00E16344">
              <w:rPr>
                <w:rFonts w:asciiTheme="minorHAnsi" w:hAnsiTheme="minorHAnsi" w:cstheme="minorHAnsi"/>
                <w:lang w:val="en-US"/>
              </w:rPr>
              <w:t xml:space="preserve"> appreciate</w:t>
            </w:r>
          </w:p>
          <w:p w14:paraId="2E719909" w14:textId="77777777" w:rsidR="00037097" w:rsidRPr="004D0E06" w:rsidRDefault="004D0E06" w:rsidP="00A4324F">
            <w:pPr>
              <w:pStyle w:val="CommentText"/>
              <w:numPr>
                <w:ilvl w:val="0"/>
                <w:numId w:val="25"/>
              </w:numPr>
              <w:jc w:val="both"/>
              <w:rPr>
                <w:rFonts w:asciiTheme="minorHAnsi" w:hAnsiTheme="minorHAnsi" w:cstheme="minorHAnsi"/>
                <w:lang w:val="en-US"/>
              </w:rPr>
            </w:pPr>
            <w:r w:rsidRPr="004D0E06">
              <w:rPr>
                <w:rFonts w:asciiTheme="minorHAnsi" w:hAnsiTheme="minorHAnsi" w:cstheme="minorHAnsi"/>
                <w:lang w:val="en-US"/>
              </w:rPr>
              <w:t>Data publication rules are set in art 12.2</w:t>
            </w:r>
            <w:r>
              <w:rPr>
                <w:rFonts w:asciiTheme="minorHAnsi" w:hAnsiTheme="minorHAnsi" w:cstheme="minorHAnsi"/>
                <w:lang w:val="en-US"/>
              </w:rPr>
              <w:t xml:space="preserve"> of the balancing rules. </w:t>
            </w:r>
            <w:r w:rsidR="00997C1F">
              <w:rPr>
                <w:rFonts w:asciiTheme="minorHAnsi" w:hAnsiTheme="minorHAnsi" w:cstheme="minorHAnsi"/>
                <w:lang w:val="en-US"/>
              </w:rPr>
              <w:t>The relevant publication requirements are directly applicable to the TSOs either on the basis of EU or national legislation of each TSO.</w:t>
            </w:r>
          </w:p>
          <w:p w14:paraId="5708CBDB" w14:textId="77777777" w:rsidR="00037097" w:rsidRPr="00E16344" w:rsidRDefault="00037097" w:rsidP="00A4324F">
            <w:pPr>
              <w:pStyle w:val="ListParagraph"/>
              <w:numPr>
                <w:ilvl w:val="0"/>
                <w:numId w:val="25"/>
              </w:numPr>
              <w:suppressAutoHyphens/>
              <w:spacing w:line="240" w:lineRule="auto"/>
              <w:jc w:val="both"/>
              <w:rPr>
                <w:rFonts w:cstheme="minorHAnsi"/>
                <w:sz w:val="20"/>
                <w:szCs w:val="20"/>
                <w:lang w:val="en-US" w:eastAsia="lt-LT"/>
              </w:rPr>
            </w:pPr>
            <w:r w:rsidRPr="00E16344">
              <w:rPr>
                <w:rFonts w:cstheme="minorHAnsi"/>
                <w:sz w:val="20"/>
                <w:szCs w:val="20"/>
                <w:lang w:val="en-US" w:eastAsia="lt-LT"/>
              </w:rPr>
              <w:lastRenderedPageBreak/>
              <w:t xml:space="preserve">Regarding requirements of Art 34 – providing of information is described in the section 7 of the rules. Art 35 is not relevant to Integrated balancing area because Base case information model according to Art 3(19) will be implemented. </w:t>
            </w:r>
          </w:p>
        </w:tc>
      </w:tr>
    </w:tbl>
    <w:p w14:paraId="0A1B0565" w14:textId="77777777" w:rsidR="005F0E72" w:rsidRPr="00E16344" w:rsidRDefault="005F0E72" w:rsidP="00A4324F">
      <w:pPr>
        <w:jc w:val="both"/>
        <w:rPr>
          <w:rFonts w:cstheme="minorHAnsi"/>
          <w:sz w:val="20"/>
          <w:szCs w:val="20"/>
        </w:rPr>
      </w:pPr>
    </w:p>
    <w:sectPr w:rsidR="005F0E72" w:rsidRPr="00E16344" w:rsidSect="00752AE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35pt;height:26.85pt;visibility:visible;mso-wrap-style:square" o:bullet="t">
        <v:imagedata r:id="rId1" o:title=""/>
      </v:shape>
    </w:pict>
  </w:numPicBullet>
  <w:abstractNum w:abstractNumId="0" w15:restartNumberingAfterBreak="0">
    <w:nsid w:val="010F5ABC"/>
    <w:multiLevelType w:val="multilevel"/>
    <w:tmpl w:val="18D4C1E6"/>
    <w:lvl w:ilvl="0">
      <w:start w:val="1"/>
      <w:numFmt w:val="decimal"/>
      <w:suff w:val="space"/>
      <w:lvlText w:val="%1."/>
      <w:lvlJc w:val="left"/>
      <w:pPr>
        <w:ind w:left="1353"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6C4B58"/>
    <w:multiLevelType w:val="hybridMultilevel"/>
    <w:tmpl w:val="77CC3F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BA024DC"/>
    <w:multiLevelType w:val="hybridMultilevel"/>
    <w:tmpl w:val="A47A6424"/>
    <w:lvl w:ilvl="0" w:tplc="D8B411EE">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306372"/>
    <w:multiLevelType w:val="hybridMultilevel"/>
    <w:tmpl w:val="E86C1A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EB5EDB"/>
    <w:multiLevelType w:val="hybridMultilevel"/>
    <w:tmpl w:val="77CC3F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9300C7A"/>
    <w:multiLevelType w:val="hybridMultilevel"/>
    <w:tmpl w:val="CA42CF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B2A5BD3"/>
    <w:multiLevelType w:val="hybridMultilevel"/>
    <w:tmpl w:val="77CC3F7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CB8741D"/>
    <w:multiLevelType w:val="hybridMultilevel"/>
    <w:tmpl w:val="DE2A9438"/>
    <w:lvl w:ilvl="0" w:tplc="536CF0A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6A07D06"/>
    <w:multiLevelType w:val="hybridMultilevel"/>
    <w:tmpl w:val="D7D0DC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7F06AD2"/>
    <w:multiLevelType w:val="hybridMultilevel"/>
    <w:tmpl w:val="0E6EED98"/>
    <w:lvl w:ilvl="0" w:tplc="E5F4531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323967D1"/>
    <w:multiLevelType w:val="hybridMultilevel"/>
    <w:tmpl w:val="C376289E"/>
    <w:lvl w:ilvl="0" w:tplc="474E09B4">
      <w:start w:val="1"/>
      <w:numFmt w:val="decimal"/>
      <w:lvlText w:val="%1."/>
      <w:lvlJc w:val="left"/>
      <w:pPr>
        <w:ind w:left="394" w:hanging="360"/>
      </w:pPr>
      <w:rPr>
        <w:rFonts w:hint="default"/>
      </w:rPr>
    </w:lvl>
    <w:lvl w:ilvl="1" w:tplc="04250019" w:tentative="1">
      <w:start w:val="1"/>
      <w:numFmt w:val="lowerLetter"/>
      <w:lvlText w:val="%2."/>
      <w:lvlJc w:val="left"/>
      <w:pPr>
        <w:ind w:left="1114" w:hanging="360"/>
      </w:pPr>
    </w:lvl>
    <w:lvl w:ilvl="2" w:tplc="0425001B" w:tentative="1">
      <w:start w:val="1"/>
      <w:numFmt w:val="lowerRoman"/>
      <w:lvlText w:val="%3."/>
      <w:lvlJc w:val="right"/>
      <w:pPr>
        <w:ind w:left="1834" w:hanging="180"/>
      </w:pPr>
    </w:lvl>
    <w:lvl w:ilvl="3" w:tplc="0425000F" w:tentative="1">
      <w:start w:val="1"/>
      <w:numFmt w:val="decimal"/>
      <w:lvlText w:val="%4."/>
      <w:lvlJc w:val="left"/>
      <w:pPr>
        <w:ind w:left="2554" w:hanging="360"/>
      </w:pPr>
    </w:lvl>
    <w:lvl w:ilvl="4" w:tplc="04250019" w:tentative="1">
      <w:start w:val="1"/>
      <w:numFmt w:val="lowerLetter"/>
      <w:lvlText w:val="%5."/>
      <w:lvlJc w:val="left"/>
      <w:pPr>
        <w:ind w:left="3274" w:hanging="360"/>
      </w:pPr>
    </w:lvl>
    <w:lvl w:ilvl="5" w:tplc="0425001B" w:tentative="1">
      <w:start w:val="1"/>
      <w:numFmt w:val="lowerRoman"/>
      <w:lvlText w:val="%6."/>
      <w:lvlJc w:val="right"/>
      <w:pPr>
        <w:ind w:left="3994" w:hanging="180"/>
      </w:pPr>
    </w:lvl>
    <w:lvl w:ilvl="6" w:tplc="0425000F" w:tentative="1">
      <w:start w:val="1"/>
      <w:numFmt w:val="decimal"/>
      <w:lvlText w:val="%7."/>
      <w:lvlJc w:val="left"/>
      <w:pPr>
        <w:ind w:left="4714" w:hanging="360"/>
      </w:pPr>
    </w:lvl>
    <w:lvl w:ilvl="7" w:tplc="04250019" w:tentative="1">
      <w:start w:val="1"/>
      <w:numFmt w:val="lowerLetter"/>
      <w:lvlText w:val="%8."/>
      <w:lvlJc w:val="left"/>
      <w:pPr>
        <w:ind w:left="5434" w:hanging="360"/>
      </w:pPr>
    </w:lvl>
    <w:lvl w:ilvl="8" w:tplc="0425001B" w:tentative="1">
      <w:start w:val="1"/>
      <w:numFmt w:val="lowerRoman"/>
      <w:lvlText w:val="%9."/>
      <w:lvlJc w:val="right"/>
      <w:pPr>
        <w:ind w:left="6154" w:hanging="180"/>
      </w:pPr>
    </w:lvl>
  </w:abstractNum>
  <w:abstractNum w:abstractNumId="11" w15:restartNumberingAfterBreak="0">
    <w:nsid w:val="34206BDC"/>
    <w:multiLevelType w:val="hybridMultilevel"/>
    <w:tmpl w:val="3990ADF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5193E29"/>
    <w:multiLevelType w:val="hybridMultilevel"/>
    <w:tmpl w:val="83D6149A"/>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55A7A92"/>
    <w:multiLevelType w:val="hybridMultilevel"/>
    <w:tmpl w:val="785C01E6"/>
    <w:lvl w:ilvl="0" w:tplc="0425000F">
      <w:start w:val="1"/>
      <w:numFmt w:val="decimal"/>
      <w:lvlText w:val="%1."/>
      <w:lvlJc w:val="left"/>
      <w:pPr>
        <w:ind w:left="360" w:hanging="360"/>
      </w:pPr>
    </w:lvl>
    <w:lvl w:ilvl="1" w:tplc="2BB87894">
      <w:start w:val="1"/>
      <w:numFmt w:val="lowerLetter"/>
      <w:lvlText w:val="(%2)"/>
      <w:lvlJc w:val="left"/>
      <w:pPr>
        <w:ind w:left="1080" w:hanging="360"/>
      </w:pPr>
      <w:rPr>
        <w:rFonts w:hint="default"/>
        <w:sz w:val="20"/>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6ED603E"/>
    <w:multiLevelType w:val="hybridMultilevel"/>
    <w:tmpl w:val="1088B1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7F44A29"/>
    <w:multiLevelType w:val="hybridMultilevel"/>
    <w:tmpl w:val="CDF4A4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D6E7842"/>
    <w:multiLevelType w:val="multilevel"/>
    <w:tmpl w:val="5F5E23EC"/>
    <w:lvl w:ilvl="0">
      <w:start w:val="1"/>
      <w:numFmt w:val="decimal"/>
      <w:pStyle w:val="Heading2"/>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DA7917"/>
    <w:multiLevelType w:val="multilevel"/>
    <w:tmpl w:val="863E607E"/>
    <w:lvl w:ilvl="0">
      <w:start w:val="6"/>
      <w:numFmt w:val="decimal"/>
      <w:lvlText w:val="%1"/>
      <w:lvlJc w:val="left"/>
      <w:pPr>
        <w:ind w:left="405" w:hanging="405"/>
      </w:pPr>
      <w:rPr>
        <w:rFonts w:hint="default"/>
      </w:rPr>
    </w:lvl>
    <w:lvl w:ilvl="1">
      <w:start w:val="1"/>
      <w:numFmt w:val="decimal"/>
      <w:lvlText w:val="%1.%2"/>
      <w:lvlJc w:val="left"/>
      <w:pPr>
        <w:ind w:left="422" w:hanging="405"/>
      </w:pPr>
      <w:rPr>
        <w:rFonts w:hint="default"/>
      </w:rPr>
    </w:lvl>
    <w:lvl w:ilvl="2">
      <w:start w:val="4"/>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788" w:hanging="72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182" w:hanging="108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576" w:hanging="1440"/>
      </w:pPr>
      <w:rPr>
        <w:rFonts w:hint="default"/>
      </w:rPr>
    </w:lvl>
  </w:abstractNum>
  <w:abstractNum w:abstractNumId="18" w15:restartNumberingAfterBreak="0">
    <w:nsid w:val="4289565F"/>
    <w:multiLevelType w:val="hybridMultilevel"/>
    <w:tmpl w:val="9B8832DA"/>
    <w:lvl w:ilvl="0" w:tplc="09D6DB32">
      <w:start w:val="2"/>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4BF2286"/>
    <w:multiLevelType w:val="multilevel"/>
    <w:tmpl w:val="59884BA2"/>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18518E"/>
    <w:multiLevelType w:val="hybridMultilevel"/>
    <w:tmpl w:val="18CC9134"/>
    <w:lvl w:ilvl="0" w:tplc="032A9C48">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1" w15:restartNumberingAfterBreak="0">
    <w:nsid w:val="572D2CDA"/>
    <w:multiLevelType w:val="hybridMultilevel"/>
    <w:tmpl w:val="CEF63E1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592353A3"/>
    <w:multiLevelType w:val="hybridMultilevel"/>
    <w:tmpl w:val="973A26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A111A2F"/>
    <w:multiLevelType w:val="hybridMultilevel"/>
    <w:tmpl w:val="61C8957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5C9754D3"/>
    <w:multiLevelType w:val="hybridMultilevel"/>
    <w:tmpl w:val="942A9E8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5E65015C"/>
    <w:multiLevelType w:val="hybridMultilevel"/>
    <w:tmpl w:val="B3BCD6DA"/>
    <w:lvl w:ilvl="0" w:tplc="3F54D220">
      <w:start w:val="1"/>
      <w:numFmt w:val="decimal"/>
      <w:lvlText w:val="%1."/>
      <w:lvlJc w:val="left"/>
      <w:pPr>
        <w:ind w:left="394" w:hanging="360"/>
      </w:pPr>
      <w:rPr>
        <w:rFonts w:hint="default"/>
      </w:rPr>
    </w:lvl>
    <w:lvl w:ilvl="1" w:tplc="04250019" w:tentative="1">
      <w:start w:val="1"/>
      <w:numFmt w:val="lowerLetter"/>
      <w:lvlText w:val="%2."/>
      <w:lvlJc w:val="left"/>
      <w:pPr>
        <w:ind w:left="1114" w:hanging="360"/>
      </w:pPr>
    </w:lvl>
    <w:lvl w:ilvl="2" w:tplc="0425001B" w:tentative="1">
      <w:start w:val="1"/>
      <w:numFmt w:val="lowerRoman"/>
      <w:lvlText w:val="%3."/>
      <w:lvlJc w:val="right"/>
      <w:pPr>
        <w:ind w:left="1834" w:hanging="180"/>
      </w:pPr>
    </w:lvl>
    <w:lvl w:ilvl="3" w:tplc="0425000F" w:tentative="1">
      <w:start w:val="1"/>
      <w:numFmt w:val="decimal"/>
      <w:lvlText w:val="%4."/>
      <w:lvlJc w:val="left"/>
      <w:pPr>
        <w:ind w:left="2554" w:hanging="360"/>
      </w:pPr>
    </w:lvl>
    <w:lvl w:ilvl="4" w:tplc="04250019" w:tentative="1">
      <w:start w:val="1"/>
      <w:numFmt w:val="lowerLetter"/>
      <w:lvlText w:val="%5."/>
      <w:lvlJc w:val="left"/>
      <w:pPr>
        <w:ind w:left="3274" w:hanging="360"/>
      </w:pPr>
    </w:lvl>
    <w:lvl w:ilvl="5" w:tplc="0425001B" w:tentative="1">
      <w:start w:val="1"/>
      <w:numFmt w:val="lowerRoman"/>
      <w:lvlText w:val="%6."/>
      <w:lvlJc w:val="right"/>
      <w:pPr>
        <w:ind w:left="3994" w:hanging="180"/>
      </w:pPr>
    </w:lvl>
    <w:lvl w:ilvl="6" w:tplc="0425000F" w:tentative="1">
      <w:start w:val="1"/>
      <w:numFmt w:val="decimal"/>
      <w:lvlText w:val="%7."/>
      <w:lvlJc w:val="left"/>
      <w:pPr>
        <w:ind w:left="4714" w:hanging="360"/>
      </w:pPr>
    </w:lvl>
    <w:lvl w:ilvl="7" w:tplc="04250019" w:tentative="1">
      <w:start w:val="1"/>
      <w:numFmt w:val="lowerLetter"/>
      <w:lvlText w:val="%8."/>
      <w:lvlJc w:val="left"/>
      <w:pPr>
        <w:ind w:left="5434" w:hanging="360"/>
      </w:pPr>
    </w:lvl>
    <w:lvl w:ilvl="8" w:tplc="0425001B" w:tentative="1">
      <w:start w:val="1"/>
      <w:numFmt w:val="lowerRoman"/>
      <w:lvlText w:val="%9."/>
      <w:lvlJc w:val="right"/>
      <w:pPr>
        <w:ind w:left="6154" w:hanging="180"/>
      </w:pPr>
    </w:lvl>
  </w:abstractNum>
  <w:abstractNum w:abstractNumId="26" w15:restartNumberingAfterBreak="0">
    <w:nsid w:val="5F395CC4"/>
    <w:multiLevelType w:val="hybridMultilevel"/>
    <w:tmpl w:val="D38AEC92"/>
    <w:lvl w:ilvl="0" w:tplc="56EE7C58">
      <w:start w:val="1"/>
      <w:numFmt w:val="decimal"/>
      <w:lvlText w:val="%1."/>
      <w:lvlJc w:val="left"/>
      <w:pPr>
        <w:ind w:left="502"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F4350C0"/>
    <w:multiLevelType w:val="hybridMultilevel"/>
    <w:tmpl w:val="508A1A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76568F5"/>
    <w:multiLevelType w:val="hybridMultilevel"/>
    <w:tmpl w:val="7D2C982A"/>
    <w:lvl w:ilvl="0" w:tplc="15A254D2">
      <w:start w:val="2"/>
      <w:numFmt w:val="bullet"/>
      <w:lvlText w:val="-"/>
      <w:lvlJc w:val="left"/>
      <w:pPr>
        <w:ind w:left="391" w:hanging="360"/>
      </w:pPr>
      <w:rPr>
        <w:rFonts w:ascii="Arial" w:eastAsia="Times New Roman" w:hAnsi="Arial" w:cs="Arial" w:hint="default"/>
      </w:rPr>
    </w:lvl>
    <w:lvl w:ilvl="1" w:tplc="04270003" w:tentative="1">
      <w:start w:val="1"/>
      <w:numFmt w:val="bullet"/>
      <w:lvlText w:val="o"/>
      <w:lvlJc w:val="left"/>
      <w:pPr>
        <w:ind w:left="1111" w:hanging="360"/>
      </w:pPr>
      <w:rPr>
        <w:rFonts w:ascii="Courier New" w:hAnsi="Courier New" w:cs="Courier New" w:hint="default"/>
      </w:rPr>
    </w:lvl>
    <w:lvl w:ilvl="2" w:tplc="04270005" w:tentative="1">
      <w:start w:val="1"/>
      <w:numFmt w:val="bullet"/>
      <w:lvlText w:val=""/>
      <w:lvlJc w:val="left"/>
      <w:pPr>
        <w:ind w:left="1831" w:hanging="360"/>
      </w:pPr>
      <w:rPr>
        <w:rFonts w:ascii="Wingdings" w:hAnsi="Wingdings" w:hint="default"/>
      </w:rPr>
    </w:lvl>
    <w:lvl w:ilvl="3" w:tplc="04270001" w:tentative="1">
      <w:start w:val="1"/>
      <w:numFmt w:val="bullet"/>
      <w:lvlText w:val=""/>
      <w:lvlJc w:val="left"/>
      <w:pPr>
        <w:ind w:left="2551" w:hanging="360"/>
      </w:pPr>
      <w:rPr>
        <w:rFonts w:ascii="Symbol" w:hAnsi="Symbol" w:hint="default"/>
      </w:rPr>
    </w:lvl>
    <w:lvl w:ilvl="4" w:tplc="04270003" w:tentative="1">
      <w:start w:val="1"/>
      <w:numFmt w:val="bullet"/>
      <w:lvlText w:val="o"/>
      <w:lvlJc w:val="left"/>
      <w:pPr>
        <w:ind w:left="3271" w:hanging="360"/>
      </w:pPr>
      <w:rPr>
        <w:rFonts w:ascii="Courier New" w:hAnsi="Courier New" w:cs="Courier New" w:hint="default"/>
      </w:rPr>
    </w:lvl>
    <w:lvl w:ilvl="5" w:tplc="04270005" w:tentative="1">
      <w:start w:val="1"/>
      <w:numFmt w:val="bullet"/>
      <w:lvlText w:val=""/>
      <w:lvlJc w:val="left"/>
      <w:pPr>
        <w:ind w:left="3991" w:hanging="360"/>
      </w:pPr>
      <w:rPr>
        <w:rFonts w:ascii="Wingdings" w:hAnsi="Wingdings" w:hint="default"/>
      </w:rPr>
    </w:lvl>
    <w:lvl w:ilvl="6" w:tplc="04270001" w:tentative="1">
      <w:start w:val="1"/>
      <w:numFmt w:val="bullet"/>
      <w:lvlText w:val=""/>
      <w:lvlJc w:val="left"/>
      <w:pPr>
        <w:ind w:left="4711" w:hanging="360"/>
      </w:pPr>
      <w:rPr>
        <w:rFonts w:ascii="Symbol" w:hAnsi="Symbol" w:hint="default"/>
      </w:rPr>
    </w:lvl>
    <w:lvl w:ilvl="7" w:tplc="04270003" w:tentative="1">
      <w:start w:val="1"/>
      <w:numFmt w:val="bullet"/>
      <w:lvlText w:val="o"/>
      <w:lvlJc w:val="left"/>
      <w:pPr>
        <w:ind w:left="5431" w:hanging="360"/>
      </w:pPr>
      <w:rPr>
        <w:rFonts w:ascii="Courier New" w:hAnsi="Courier New" w:cs="Courier New" w:hint="default"/>
      </w:rPr>
    </w:lvl>
    <w:lvl w:ilvl="8" w:tplc="04270005" w:tentative="1">
      <w:start w:val="1"/>
      <w:numFmt w:val="bullet"/>
      <w:lvlText w:val=""/>
      <w:lvlJc w:val="left"/>
      <w:pPr>
        <w:ind w:left="6151" w:hanging="360"/>
      </w:pPr>
      <w:rPr>
        <w:rFonts w:ascii="Wingdings" w:hAnsi="Wingdings" w:hint="default"/>
      </w:rPr>
    </w:lvl>
  </w:abstractNum>
  <w:abstractNum w:abstractNumId="29" w15:restartNumberingAfterBreak="0">
    <w:nsid w:val="67F03D0A"/>
    <w:multiLevelType w:val="hybridMultilevel"/>
    <w:tmpl w:val="F84C1C6A"/>
    <w:lvl w:ilvl="0" w:tplc="70BC4A20">
      <w:start w:val="1"/>
      <w:numFmt w:val="bullet"/>
      <w:lvlText w:val=""/>
      <w:lvlPicBulletId w:val="0"/>
      <w:lvlJc w:val="left"/>
      <w:pPr>
        <w:tabs>
          <w:tab w:val="num" w:pos="720"/>
        </w:tabs>
        <w:ind w:left="720" w:hanging="360"/>
      </w:pPr>
      <w:rPr>
        <w:rFonts w:ascii="Symbol" w:hAnsi="Symbol" w:hint="default"/>
      </w:rPr>
    </w:lvl>
    <w:lvl w:ilvl="1" w:tplc="3ED613F0" w:tentative="1">
      <w:start w:val="1"/>
      <w:numFmt w:val="bullet"/>
      <w:lvlText w:val=""/>
      <w:lvlJc w:val="left"/>
      <w:pPr>
        <w:tabs>
          <w:tab w:val="num" w:pos="1440"/>
        </w:tabs>
        <w:ind w:left="1440" w:hanging="360"/>
      </w:pPr>
      <w:rPr>
        <w:rFonts w:ascii="Symbol" w:hAnsi="Symbol" w:hint="default"/>
      </w:rPr>
    </w:lvl>
    <w:lvl w:ilvl="2" w:tplc="390273CE" w:tentative="1">
      <w:start w:val="1"/>
      <w:numFmt w:val="bullet"/>
      <w:lvlText w:val=""/>
      <w:lvlJc w:val="left"/>
      <w:pPr>
        <w:tabs>
          <w:tab w:val="num" w:pos="2160"/>
        </w:tabs>
        <w:ind w:left="2160" w:hanging="360"/>
      </w:pPr>
      <w:rPr>
        <w:rFonts w:ascii="Symbol" w:hAnsi="Symbol" w:hint="default"/>
      </w:rPr>
    </w:lvl>
    <w:lvl w:ilvl="3" w:tplc="1C0A3492" w:tentative="1">
      <w:start w:val="1"/>
      <w:numFmt w:val="bullet"/>
      <w:lvlText w:val=""/>
      <w:lvlJc w:val="left"/>
      <w:pPr>
        <w:tabs>
          <w:tab w:val="num" w:pos="2880"/>
        </w:tabs>
        <w:ind w:left="2880" w:hanging="360"/>
      </w:pPr>
      <w:rPr>
        <w:rFonts w:ascii="Symbol" w:hAnsi="Symbol" w:hint="default"/>
      </w:rPr>
    </w:lvl>
    <w:lvl w:ilvl="4" w:tplc="1E445DA2" w:tentative="1">
      <w:start w:val="1"/>
      <w:numFmt w:val="bullet"/>
      <w:lvlText w:val=""/>
      <w:lvlJc w:val="left"/>
      <w:pPr>
        <w:tabs>
          <w:tab w:val="num" w:pos="3600"/>
        </w:tabs>
        <w:ind w:left="3600" w:hanging="360"/>
      </w:pPr>
      <w:rPr>
        <w:rFonts w:ascii="Symbol" w:hAnsi="Symbol" w:hint="default"/>
      </w:rPr>
    </w:lvl>
    <w:lvl w:ilvl="5" w:tplc="655AAF8E" w:tentative="1">
      <w:start w:val="1"/>
      <w:numFmt w:val="bullet"/>
      <w:lvlText w:val=""/>
      <w:lvlJc w:val="left"/>
      <w:pPr>
        <w:tabs>
          <w:tab w:val="num" w:pos="4320"/>
        </w:tabs>
        <w:ind w:left="4320" w:hanging="360"/>
      </w:pPr>
      <w:rPr>
        <w:rFonts w:ascii="Symbol" w:hAnsi="Symbol" w:hint="default"/>
      </w:rPr>
    </w:lvl>
    <w:lvl w:ilvl="6" w:tplc="67A24C18" w:tentative="1">
      <w:start w:val="1"/>
      <w:numFmt w:val="bullet"/>
      <w:lvlText w:val=""/>
      <w:lvlJc w:val="left"/>
      <w:pPr>
        <w:tabs>
          <w:tab w:val="num" w:pos="5040"/>
        </w:tabs>
        <w:ind w:left="5040" w:hanging="360"/>
      </w:pPr>
      <w:rPr>
        <w:rFonts w:ascii="Symbol" w:hAnsi="Symbol" w:hint="default"/>
      </w:rPr>
    </w:lvl>
    <w:lvl w:ilvl="7" w:tplc="91CE25E2" w:tentative="1">
      <w:start w:val="1"/>
      <w:numFmt w:val="bullet"/>
      <w:lvlText w:val=""/>
      <w:lvlJc w:val="left"/>
      <w:pPr>
        <w:tabs>
          <w:tab w:val="num" w:pos="5760"/>
        </w:tabs>
        <w:ind w:left="5760" w:hanging="360"/>
      </w:pPr>
      <w:rPr>
        <w:rFonts w:ascii="Symbol" w:hAnsi="Symbol" w:hint="default"/>
      </w:rPr>
    </w:lvl>
    <w:lvl w:ilvl="8" w:tplc="DD42B76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A5B75D7"/>
    <w:multiLevelType w:val="hybridMultilevel"/>
    <w:tmpl w:val="309E952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6D1E6393"/>
    <w:multiLevelType w:val="hybridMultilevel"/>
    <w:tmpl w:val="0088CD8E"/>
    <w:lvl w:ilvl="0" w:tplc="5E7C4E88">
      <w:start w:val="1"/>
      <w:numFmt w:val="decimal"/>
      <w:lvlText w:val="%1."/>
      <w:lvlJc w:val="left"/>
      <w:pPr>
        <w:ind w:left="360" w:hanging="360"/>
      </w:pPr>
      <w:rPr>
        <w:rFonts w:asciiTheme="minorHAnsi" w:eastAsiaTheme="minorHAnsi" w:hAnsiTheme="minorHAnsi" w:cstheme="minorHAnsi"/>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71FD5832"/>
    <w:multiLevelType w:val="multilevel"/>
    <w:tmpl w:val="863E607E"/>
    <w:lvl w:ilvl="0">
      <w:start w:val="6"/>
      <w:numFmt w:val="decimal"/>
      <w:lvlText w:val="%1"/>
      <w:lvlJc w:val="left"/>
      <w:pPr>
        <w:ind w:left="405" w:hanging="405"/>
      </w:pPr>
      <w:rPr>
        <w:rFonts w:hint="default"/>
      </w:rPr>
    </w:lvl>
    <w:lvl w:ilvl="1">
      <w:start w:val="1"/>
      <w:numFmt w:val="decimal"/>
      <w:lvlText w:val="%1.%2"/>
      <w:lvlJc w:val="left"/>
      <w:pPr>
        <w:ind w:left="422" w:hanging="405"/>
      </w:pPr>
      <w:rPr>
        <w:rFonts w:hint="default"/>
      </w:rPr>
    </w:lvl>
    <w:lvl w:ilvl="2">
      <w:start w:val="4"/>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788" w:hanging="72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182" w:hanging="108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576" w:hanging="1440"/>
      </w:pPr>
      <w:rPr>
        <w:rFonts w:hint="default"/>
      </w:rPr>
    </w:lvl>
  </w:abstractNum>
  <w:abstractNum w:abstractNumId="33" w15:restartNumberingAfterBreak="0">
    <w:nsid w:val="76D93CAC"/>
    <w:multiLevelType w:val="hybridMultilevel"/>
    <w:tmpl w:val="E86C1AC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797A04A2"/>
    <w:multiLevelType w:val="hybridMultilevel"/>
    <w:tmpl w:val="61C8957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7CD372FC"/>
    <w:multiLevelType w:val="multilevel"/>
    <w:tmpl w:val="863E607E"/>
    <w:lvl w:ilvl="0">
      <w:start w:val="6"/>
      <w:numFmt w:val="decimal"/>
      <w:lvlText w:val="%1"/>
      <w:lvlJc w:val="left"/>
      <w:pPr>
        <w:ind w:left="405" w:hanging="405"/>
      </w:pPr>
      <w:rPr>
        <w:rFonts w:hint="default"/>
      </w:rPr>
    </w:lvl>
    <w:lvl w:ilvl="1">
      <w:start w:val="1"/>
      <w:numFmt w:val="decimal"/>
      <w:lvlText w:val="%1.%2"/>
      <w:lvlJc w:val="left"/>
      <w:pPr>
        <w:ind w:left="422" w:hanging="405"/>
      </w:pPr>
      <w:rPr>
        <w:rFonts w:hint="default"/>
      </w:rPr>
    </w:lvl>
    <w:lvl w:ilvl="2">
      <w:start w:val="4"/>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788" w:hanging="72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182" w:hanging="108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576" w:hanging="1440"/>
      </w:pPr>
      <w:rPr>
        <w:rFonts w:hint="default"/>
      </w:rPr>
    </w:lvl>
  </w:abstractNum>
  <w:abstractNum w:abstractNumId="36" w15:restartNumberingAfterBreak="0">
    <w:nsid w:val="7E031EBA"/>
    <w:multiLevelType w:val="hybridMultilevel"/>
    <w:tmpl w:val="FAE4B26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5"/>
  </w:num>
  <w:num w:numId="4">
    <w:abstractNumId w:val="34"/>
  </w:num>
  <w:num w:numId="5">
    <w:abstractNumId w:val="30"/>
  </w:num>
  <w:num w:numId="6">
    <w:abstractNumId w:val="11"/>
  </w:num>
  <w:num w:numId="7">
    <w:abstractNumId w:val="36"/>
  </w:num>
  <w:num w:numId="8">
    <w:abstractNumId w:val="13"/>
  </w:num>
  <w:num w:numId="9">
    <w:abstractNumId w:val="17"/>
  </w:num>
  <w:num w:numId="10">
    <w:abstractNumId w:val="35"/>
  </w:num>
  <w:num w:numId="11">
    <w:abstractNumId w:val="32"/>
  </w:num>
  <w:num w:numId="12">
    <w:abstractNumId w:val="8"/>
  </w:num>
  <w:num w:numId="13">
    <w:abstractNumId w:val="12"/>
  </w:num>
  <w:num w:numId="14">
    <w:abstractNumId w:val="21"/>
  </w:num>
  <w:num w:numId="15">
    <w:abstractNumId w:val="2"/>
  </w:num>
  <w:num w:numId="16">
    <w:abstractNumId w:val="18"/>
  </w:num>
  <w:num w:numId="17">
    <w:abstractNumId w:val="28"/>
  </w:num>
  <w:num w:numId="18">
    <w:abstractNumId w:val="9"/>
  </w:num>
  <w:num w:numId="19">
    <w:abstractNumId w:val="25"/>
  </w:num>
  <w:num w:numId="20">
    <w:abstractNumId w:val="10"/>
  </w:num>
  <w:num w:numId="21">
    <w:abstractNumId w:val="7"/>
  </w:num>
  <w:num w:numId="22">
    <w:abstractNumId w:val="23"/>
  </w:num>
  <w:num w:numId="23">
    <w:abstractNumId w:val="5"/>
  </w:num>
  <w:num w:numId="24">
    <w:abstractNumId w:val="22"/>
  </w:num>
  <w:num w:numId="25">
    <w:abstractNumId w:val="6"/>
  </w:num>
  <w:num w:numId="26">
    <w:abstractNumId w:val="0"/>
  </w:num>
  <w:num w:numId="27">
    <w:abstractNumId w:val="1"/>
  </w:num>
  <w:num w:numId="28">
    <w:abstractNumId w:val="29"/>
  </w:num>
  <w:num w:numId="29">
    <w:abstractNumId w:val="4"/>
  </w:num>
  <w:num w:numId="30">
    <w:abstractNumId w:val="14"/>
  </w:num>
  <w:num w:numId="31">
    <w:abstractNumId w:val="20"/>
  </w:num>
  <w:num w:numId="32">
    <w:abstractNumId w:val="33"/>
  </w:num>
  <w:num w:numId="33">
    <w:abstractNumId w:val="3"/>
  </w:num>
  <w:num w:numId="34">
    <w:abstractNumId w:val="24"/>
  </w:num>
  <w:num w:numId="35">
    <w:abstractNumId w:val="31"/>
  </w:num>
  <w:num w:numId="36">
    <w:abstractNumId w:val="1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EC"/>
    <w:rsid w:val="0002182A"/>
    <w:rsid w:val="00037097"/>
    <w:rsid w:val="00040430"/>
    <w:rsid w:val="00076CD0"/>
    <w:rsid w:val="000F67E6"/>
    <w:rsid w:val="00153952"/>
    <w:rsid w:val="00164E01"/>
    <w:rsid w:val="00196B37"/>
    <w:rsid w:val="001E360E"/>
    <w:rsid w:val="001F21F0"/>
    <w:rsid w:val="001F2632"/>
    <w:rsid w:val="00263ADA"/>
    <w:rsid w:val="002B4458"/>
    <w:rsid w:val="002F6D55"/>
    <w:rsid w:val="00317C84"/>
    <w:rsid w:val="00330AD5"/>
    <w:rsid w:val="00336567"/>
    <w:rsid w:val="00363F23"/>
    <w:rsid w:val="00367EC5"/>
    <w:rsid w:val="00377AA6"/>
    <w:rsid w:val="003A37B6"/>
    <w:rsid w:val="003D0B58"/>
    <w:rsid w:val="003E2A62"/>
    <w:rsid w:val="00407350"/>
    <w:rsid w:val="0042566B"/>
    <w:rsid w:val="0043174E"/>
    <w:rsid w:val="00433233"/>
    <w:rsid w:val="00480619"/>
    <w:rsid w:val="0048120C"/>
    <w:rsid w:val="0049547F"/>
    <w:rsid w:val="004D0E06"/>
    <w:rsid w:val="004F13BA"/>
    <w:rsid w:val="00507BCC"/>
    <w:rsid w:val="00523DAC"/>
    <w:rsid w:val="005325A9"/>
    <w:rsid w:val="00534EDC"/>
    <w:rsid w:val="00545294"/>
    <w:rsid w:val="00551319"/>
    <w:rsid w:val="00575F89"/>
    <w:rsid w:val="005942E2"/>
    <w:rsid w:val="005A022E"/>
    <w:rsid w:val="005F0E72"/>
    <w:rsid w:val="00605619"/>
    <w:rsid w:val="00620AD7"/>
    <w:rsid w:val="00652DEC"/>
    <w:rsid w:val="00661950"/>
    <w:rsid w:val="00672802"/>
    <w:rsid w:val="006766D3"/>
    <w:rsid w:val="006921B0"/>
    <w:rsid w:val="006976A4"/>
    <w:rsid w:val="006B6675"/>
    <w:rsid w:val="006D1890"/>
    <w:rsid w:val="006D5E99"/>
    <w:rsid w:val="006F6E68"/>
    <w:rsid w:val="00711B78"/>
    <w:rsid w:val="00752AEC"/>
    <w:rsid w:val="00761880"/>
    <w:rsid w:val="007633F6"/>
    <w:rsid w:val="007B0257"/>
    <w:rsid w:val="007C390D"/>
    <w:rsid w:val="00825F8D"/>
    <w:rsid w:val="008548F2"/>
    <w:rsid w:val="009224B5"/>
    <w:rsid w:val="00925517"/>
    <w:rsid w:val="00926380"/>
    <w:rsid w:val="0093473D"/>
    <w:rsid w:val="00956CC4"/>
    <w:rsid w:val="00990A7A"/>
    <w:rsid w:val="00997C1F"/>
    <w:rsid w:val="00A24F74"/>
    <w:rsid w:val="00A4324F"/>
    <w:rsid w:val="00A74603"/>
    <w:rsid w:val="00A87D1C"/>
    <w:rsid w:val="00AB4695"/>
    <w:rsid w:val="00B16630"/>
    <w:rsid w:val="00B30E2C"/>
    <w:rsid w:val="00B55CB2"/>
    <w:rsid w:val="00B645DA"/>
    <w:rsid w:val="00B836C2"/>
    <w:rsid w:val="00BD17F8"/>
    <w:rsid w:val="00BE4C55"/>
    <w:rsid w:val="00C56887"/>
    <w:rsid w:val="00C644DF"/>
    <w:rsid w:val="00C66AE0"/>
    <w:rsid w:val="00C83420"/>
    <w:rsid w:val="00C92F66"/>
    <w:rsid w:val="00C95733"/>
    <w:rsid w:val="00CA69B0"/>
    <w:rsid w:val="00CF20D6"/>
    <w:rsid w:val="00CF4A87"/>
    <w:rsid w:val="00D10B00"/>
    <w:rsid w:val="00D57413"/>
    <w:rsid w:val="00D90004"/>
    <w:rsid w:val="00DC1861"/>
    <w:rsid w:val="00DF65C7"/>
    <w:rsid w:val="00E16344"/>
    <w:rsid w:val="00E540E7"/>
    <w:rsid w:val="00EA4A33"/>
    <w:rsid w:val="00EB5976"/>
    <w:rsid w:val="00EB795F"/>
    <w:rsid w:val="00F1138B"/>
    <w:rsid w:val="00F13E17"/>
    <w:rsid w:val="00F25258"/>
    <w:rsid w:val="00F33161"/>
    <w:rsid w:val="00F362C6"/>
    <w:rsid w:val="00F758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ECE8"/>
  <w15:docId w15:val="{A1D89B74-7005-4A47-88DB-26D6BCF3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3420"/>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2F6D55"/>
    <w:pPr>
      <w:keepNext/>
      <w:keepLines/>
      <w:numPr>
        <w:numId w:val="36"/>
      </w:numPr>
      <w:spacing w:before="40" w:after="40" w:line="240" w:lineRule="auto"/>
      <w:ind w:left="357" w:hanging="357"/>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AE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752AEC"/>
    <w:pPr>
      <w:spacing w:after="0" w:line="240" w:lineRule="auto"/>
    </w:pPr>
    <w:rPr>
      <w:lang w:val="en-US"/>
    </w:r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Heading 2_sj Char,Numbered Para 1 Char,Dot pt Char"/>
    <w:link w:val="ListParagraph"/>
    <w:uiPriority w:val="34"/>
    <w:qFormat/>
    <w:locked/>
    <w:rsid w:val="00752AEC"/>
  </w:style>
  <w:style w:type="paragraph" w:styleId="ListParagraph">
    <w:name w:val="List Paragraph"/>
    <w:aliases w:val="1st level - Bullet List Paragraph,Lettre d'introduction,Paragrafo elenco,List Paragraph1,Medium Grid 1 - Accent 21,FooterText,Paragraphe de liste1,Heading 2_sj,Numbered Para 1,Dot pt,No Spacing1,List Paragraph Char Char Char,Bullet 1,Ha"/>
    <w:basedOn w:val="Normal"/>
    <w:link w:val="ListParagraphChar"/>
    <w:uiPriority w:val="34"/>
    <w:qFormat/>
    <w:rsid w:val="00752AEC"/>
    <w:pPr>
      <w:spacing w:line="256" w:lineRule="auto"/>
      <w:ind w:left="720"/>
      <w:contextualSpacing/>
    </w:pPr>
  </w:style>
  <w:style w:type="table" w:styleId="TableGrid">
    <w:name w:val="Table Grid"/>
    <w:basedOn w:val="TableNormal"/>
    <w:uiPriority w:val="39"/>
    <w:rsid w:val="00BE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66AE0"/>
    <w:pPr>
      <w:pBdr>
        <w:top w:val="nil"/>
        <w:left w:val="nil"/>
        <w:bottom w:val="nil"/>
        <w:right w:val="nil"/>
        <w:between w:val="nil"/>
        <w:bar w:val="nil"/>
      </w:pBdr>
      <w:spacing w:after="120" w:line="240" w:lineRule="auto"/>
    </w:pPr>
    <w:rPr>
      <w:rFonts w:ascii="Times New Roman" w:eastAsia="Arial Unicode MS" w:hAnsi="Times New Roman" w:cs="Times New Roman"/>
      <w:sz w:val="24"/>
      <w:szCs w:val="24"/>
      <w:bdr w:val="nil"/>
      <w:lang w:val="lt-LT"/>
    </w:rPr>
  </w:style>
  <w:style w:type="character" w:customStyle="1" w:styleId="BodyTextChar">
    <w:name w:val="Body Text Char"/>
    <w:basedOn w:val="DefaultParagraphFont"/>
    <w:link w:val="BodyText"/>
    <w:uiPriority w:val="99"/>
    <w:rsid w:val="00C66AE0"/>
    <w:rPr>
      <w:rFonts w:ascii="Times New Roman" w:eastAsia="Arial Unicode MS" w:hAnsi="Times New Roman" w:cs="Times New Roman"/>
      <w:sz w:val="24"/>
      <w:szCs w:val="24"/>
      <w:bdr w:val="nil"/>
      <w:lang w:val="lt-LT"/>
    </w:rPr>
  </w:style>
  <w:style w:type="paragraph" w:styleId="CommentText">
    <w:name w:val="annotation text"/>
    <w:basedOn w:val="Normal"/>
    <w:link w:val="CommentTextChar"/>
    <w:uiPriority w:val="99"/>
    <w:unhideWhenUsed/>
    <w:rsid w:val="004317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lt-LT"/>
    </w:rPr>
  </w:style>
  <w:style w:type="character" w:customStyle="1" w:styleId="CommentTextChar">
    <w:name w:val="Comment Text Char"/>
    <w:basedOn w:val="DefaultParagraphFont"/>
    <w:link w:val="CommentText"/>
    <w:uiPriority w:val="99"/>
    <w:rsid w:val="0043174E"/>
    <w:rPr>
      <w:rFonts w:ascii="Times New Roman" w:eastAsia="Arial Unicode MS" w:hAnsi="Times New Roman" w:cs="Times New Roman"/>
      <w:sz w:val="20"/>
      <w:szCs w:val="20"/>
      <w:bdr w:val="nil"/>
      <w:lang w:val="lt-LT"/>
    </w:rPr>
  </w:style>
  <w:style w:type="paragraph" w:styleId="BalloonText">
    <w:name w:val="Balloon Text"/>
    <w:basedOn w:val="Normal"/>
    <w:link w:val="BalloonTextChar"/>
    <w:uiPriority w:val="99"/>
    <w:semiHidden/>
    <w:unhideWhenUsed/>
    <w:rsid w:val="0043174E"/>
    <w:pPr>
      <w:pBdr>
        <w:top w:val="nil"/>
        <w:left w:val="nil"/>
        <w:bottom w:val="nil"/>
        <w:right w:val="nil"/>
        <w:between w:val="nil"/>
        <w:bar w:val="nil"/>
      </w:pBdr>
      <w:spacing w:after="0" w:line="240" w:lineRule="auto"/>
    </w:pPr>
    <w:rPr>
      <w:rFonts w:ascii="Tahoma" w:eastAsia="Arial Unicode MS" w:hAnsi="Tahoma" w:cs="Tahoma"/>
      <w:sz w:val="16"/>
      <w:szCs w:val="16"/>
      <w:bdr w:val="nil"/>
      <w:lang w:val="lt-LT"/>
    </w:rPr>
  </w:style>
  <w:style w:type="character" w:customStyle="1" w:styleId="BalloonTextChar">
    <w:name w:val="Balloon Text Char"/>
    <w:basedOn w:val="DefaultParagraphFont"/>
    <w:link w:val="BalloonText"/>
    <w:uiPriority w:val="99"/>
    <w:semiHidden/>
    <w:rsid w:val="0043174E"/>
    <w:rPr>
      <w:rFonts w:ascii="Tahoma" w:eastAsia="Arial Unicode MS" w:hAnsi="Tahoma" w:cs="Tahoma"/>
      <w:sz w:val="16"/>
      <w:szCs w:val="16"/>
      <w:bdr w:val="nil"/>
      <w:lang w:val="lt-LT"/>
    </w:rPr>
  </w:style>
  <w:style w:type="paragraph" w:styleId="Header">
    <w:name w:val="header"/>
    <w:basedOn w:val="Normal"/>
    <w:link w:val="HeaderChar"/>
    <w:uiPriority w:val="99"/>
    <w:unhideWhenUsed/>
    <w:rsid w:val="00037097"/>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Times New Roman"/>
      <w:sz w:val="24"/>
      <w:szCs w:val="24"/>
      <w:bdr w:val="nil"/>
      <w:lang w:val="lt-LT"/>
    </w:rPr>
  </w:style>
  <w:style w:type="character" w:customStyle="1" w:styleId="HeaderChar">
    <w:name w:val="Header Char"/>
    <w:basedOn w:val="DefaultParagraphFont"/>
    <w:link w:val="Header"/>
    <w:uiPriority w:val="99"/>
    <w:rsid w:val="00037097"/>
    <w:rPr>
      <w:rFonts w:ascii="Times New Roman" w:eastAsia="Arial Unicode MS" w:hAnsi="Times New Roman" w:cs="Times New Roman"/>
      <w:sz w:val="24"/>
      <w:szCs w:val="24"/>
      <w:bdr w:val="nil"/>
      <w:lang w:val="lt-LT"/>
    </w:rPr>
  </w:style>
  <w:style w:type="character" w:customStyle="1" w:styleId="Heading1Char">
    <w:name w:val="Heading 1 Char"/>
    <w:basedOn w:val="DefaultParagraphFont"/>
    <w:link w:val="Heading1"/>
    <w:uiPriority w:val="9"/>
    <w:rsid w:val="00C83420"/>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2F6D55"/>
    <w:rPr>
      <w:rFonts w:asciiTheme="majorHAnsi" w:eastAsiaTheme="majorEastAsia" w:hAnsiTheme="majorHAnsi" w:cstheme="majorBidi"/>
      <w:b/>
      <w:sz w:val="24"/>
      <w:szCs w:val="26"/>
    </w:rPr>
  </w:style>
  <w:style w:type="character" w:styleId="Hyperlink">
    <w:name w:val="Hyperlink"/>
    <w:basedOn w:val="DefaultParagraphFont"/>
    <w:uiPriority w:val="99"/>
    <w:semiHidden/>
    <w:unhideWhenUsed/>
    <w:rsid w:val="00545294"/>
    <w:rPr>
      <w:color w:val="0000FF"/>
      <w:u w:val="single"/>
    </w:rPr>
  </w:style>
  <w:style w:type="character" w:styleId="CommentReference">
    <w:name w:val="annotation reference"/>
    <w:basedOn w:val="DefaultParagraphFont"/>
    <w:uiPriority w:val="99"/>
    <w:semiHidden/>
    <w:unhideWhenUsed/>
    <w:rsid w:val="00263ADA"/>
    <w:rPr>
      <w:sz w:val="16"/>
      <w:szCs w:val="16"/>
    </w:rPr>
  </w:style>
  <w:style w:type="paragraph" w:styleId="CommentSubject">
    <w:name w:val="annotation subject"/>
    <w:basedOn w:val="CommentText"/>
    <w:next w:val="CommentText"/>
    <w:link w:val="CommentSubjectChar"/>
    <w:uiPriority w:val="99"/>
    <w:semiHidden/>
    <w:unhideWhenUsed/>
    <w:rsid w:val="00263ADA"/>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t-EE"/>
    </w:rPr>
  </w:style>
  <w:style w:type="character" w:customStyle="1" w:styleId="CommentSubjectChar">
    <w:name w:val="Comment Subject Char"/>
    <w:basedOn w:val="CommentTextChar"/>
    <w:link w:val="CommentSubject"/>
    <w:uiPriority w:val="99"/>
    <w:semiHidden/>
    <w:rsid w:val="00263ADA"/>
    <w:rPr>
      <w:rFonts w:ascii="Times New Roman" w:eastAsia="Arial Unicode MS" w:hAnsi="Times New Roman" w:cs="Times New Roman"/>
      <w:b/>
      <w:bCs/>
      <w:sz w:val="20"/>
      <w:szCs w:val="20"/>
      <w:bdr w:val="nil"/>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149374">
      <w:bodyDiv w:val="1"/>
      <w:marLeft w:val="0"/>
      <w:marRight w:val="0"/>
      <w:marTop w:val="0"/>
      <w:marBottom w:val="0"/>
      <w:divBdr>
        <w:top w:val="none" w:sz="0" w:space="0" w:color="auto"/>
        <w:left w:val="none" w:sz="0" w:space="0" w:color="auto"/>
        <w:bottom w:val="none" w:sz="0" w:space="0" w:color="auto"/>
        <w:right w:val="none" w:sz="0" w:space="0" w:color="auto"/>
      </w:divBdr>
      <w:divsChild>
        <w:div w:id="154692489">
          <w:marLeft w:val="0"/>
          <w:marRight w:val="0"/>
          <w:marTop w:val="0"/>
          <w:marBottom w:val="0"/>
          <w:divBdr>
            <w:top w:val="none" w:sz="0" w:space="0" w:color="auto"/>
            <w:left w:val="none" w:sz="0" w:space="0" w:color="auto"/>
            <w:bottom w:val="none" w:sz="0" w:space="0" w:color="auto"/>
            <w:right w:val="none" w:sz="0" w:space="0" w:color="auto"/>
          </w:divBdr>
        </w:div>
      </w:divsChild>
    </w:div>
    <w:div w:id="516386222">
      <w:bodyDiv w:val="1"/>
      <w:marLeft w:val="0"/>
      <w:marRight w:val="0"/>
      <w:marTop w:val="0"/>
      <w:marBottom w:val="0"/>
      <w:divBdr>
        <w:top w:val="none" w:sz="0" w:space="0" w:color="auto"/>
        <w:left w:val="none" w:sz="0" w:space="0" w:color="auto"/>
        <w:bottom w:val="none" w:sz="0" w:space="0" w:color="auto"/>
        <w:right w:val="none" w:sz="0" w:space="0" w:color="auto"/>
      </w:divBdr>
      <w:divsChild>
        <w:div w:id="1201086380">
          <w:marLeft w:val="0"/>
          <w:marRight w:val="0"/>
          <w:marTop w:val="0"/>
          <w:marBottom w:val="0"/>
          <w:divBdr>
            <w:top w:val="none" w:sz="0" w:space="0" w:color="auto"/>
            <w:left w:val="none" w:sz="0" w:space="0" w:color="auto"/>
            <w:bottom w:val="none" w:sz="0" w:space="0" w:color="auto"/>
            <w:right w:val="none" w:sz="0" w:space="0" w:color="auto"/>
          </w:divBdr>
        </w:div>
      </w:divsChild>
    </w:div>
    <w:div w:id="1623145236">
      <w:bodyDiv w:val="1"/>
      <w:marLeft w:val="0"/>
      <w:marRight w:val="0"/>
      <w:marTop w:val="0"/>
      <w:marBottom w:val="0"/>
      <w:divBdr>
        <w:top w:val="none" w:sz="0" w:space="0" w:color="auto"/>
        <w:left w:val="none" w:sz="0" w:space="0" w:color="auto"/>
        <w:bottom w:val="none" w:sz="0" w:space="0" w:color="auto"/>
        <w:right w:val="none" w:sz="0" w:space="0" w:color="auto"/>
      </w:divBdr>
    </w:div>
    <w:div w:id="16298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6616F-4021-4BD1-80BF-EF835764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5420</Words>
  <Characters>30899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Elering AS</Company>
  <LinksUpToDate>false</LinksUpToDate>
  <CharactersWithSpaces>36247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Jette Särekanno</dc:creator>
  <cp:keywords/>
  <dc:description/>
  <cp:lastModifiedBy>Dace Baltabola</cp:lastModifiedBy>
  <cp:revision>2</cp:revision>
  <cp:lastPrinted>2019-04-10T06:37:00Z</cp:lastPrinted>
  <dcterms:created xsi:type="dcterms:W3CDTF">2019-06-03T05:31:00Z</dcterms:created>
  <dcterms:modified xsi:type="dcterms:W3CDTF">2019-06-03T05:31:00Z</dcterms:modified>
</cp:coreProperties>
</file>